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55FF7" w14:textId="5F4F0584" w:rsidR="00185DC9" w:rsidRDefault="00185DC9" w:rsidP="00185DC9">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WG3 Meeting #11</w:t>
      </w:r>
      <w:r w:rsidR="00E63372">
        <w:rPr>
          <w:rFonts w:ascii="Arial" w:eastAsia="Times New Roman" w:hAnsi="Arial"/>
          <w:b/>
          <w:sz w:val="24"/>
          <w:szCs w:val="24"/>
        </w:rPr>
        <w:t>4</w:t>
      </w:r>
      <w:r w:rsidR="00987461">
        <w:rPr>
          <w:rFonts w:ascii="Arial" w:eastAsia="Times New Roman" w:hAnsi="Arial"/>
          <w:b/>
          <w:sz w:val="24"/>
          <w:szCs w:val="24"/>
        </w:rPr>
        <w:t>bis</w:t>
      </w:r>
      <w:r w:rsidR="00A911FD">
        <w:rPr>
          <w:rFonts w:ascii="Arial" w:eastAsia="Times New Roman" w:hAnsi="Arial"/>
          <w:b/>
          <w:sz w:val="24"/>
          <w:szCs w:val="24"/>
        </w:rPr>
        <w:t>-</w:t>
      </w:r>
      <w:r>
        <w:rPr>
          <w:rFonts w:ascii="Arial" w:eastAsia="Times New Roman" w:hAnsi="Arial"/>
          <w:b/>
          <w:sz w:val="24"/>
          <w:szCs w:val="24"/>
        </w:rPr>
        <w:t xml:space="preserve">e                                                    </w:t>
      </w:r>
      <w:r>
        <w:rPr>
          <w:rFonts w:ascii="Arial" w:hAnsi="Arial" w:cs="Arial"/>
          <w:b/>
          <w:bCs/>
          <w:color w:val="000000"/>
          <w:sz w:val="26"/>
          <w:szCs w:val="26"/>
        </w:rPr>
        <w:t>R3-</w:t>
      </w:r>
      <w:r w:rsidR="00A911FD">
        <w:rPr>
          <w:rFonts w:ascii="Arial" w:hAnsi="Arial" w:cs="Arial"/>
          <w:b/>
          <w:bCs/>
          <w:color w:val="000000"/>
          <w:sz w:val="26"/>
          <w:szCs w:val="26"/>
        </w:rPr>
        <w:t>220273</w:t>
      </w:r>
    </w:p>
    <w:p w14:paraId="4C8F5987" w14:textId="071268D7" w:rsidR="00185DC9" w:rsidRDefault="00185DC9" w:rsidP="00185DC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A911FD">
        <w:rPr>
          <w:rFonts w:ascii="Arial" w:hAnsi="Arial"/>
          <w:b/>
          <w:sz w:val="24"/>
          <w:szCs w:val="24"/>
          <w:lang w:eastAsia="zh-CN"/>
        </w:rPr>
        <w:t>Jan</w:t>
      </w:r>
      <w:r>
        <w:rPr>
          <w:rFonts w:ascii="Arial" w:hAnsi="Arial"/>
          <w:b/>
          <w:sz w:val="24"/>
          <w:szCs w:val="24"/>
          <w:lang w:eastAsia="zh-CN"/>
        </w:rPr>
        <w:t xml:space="preserve"> 1</w:t>
      </w:r>
      <w:r w:rsidR="00A911FD">
        <w:rPr>
          <w:rFonts w:ascii="Arial" w:hAnsi="Arial"/>
          <w:b/>
          <w:sz w:val="24"/>
          <w:szCs w:val="24"/>
          <w:lang w:eastAsia="zh-CN"/>
        </w:rPr>
        <w:t>7</w:t>
      </w:r>
      <w:r w:rsidR="00A911FD" w:rsidRPr="00A911FD">
        <w:rPr>
          <w:rFonts w:ascii="Arial" w:hAnsi="Arial"/>
          <w:b/>
          <w:sz w:val="24"/>
          <w:szCs w:val="24"/>
          <w:vertAlign w:val="superscript"/>
          <w:lang w:eastAsia="zh-CN"/>
        </w:rPr>
        <w:t>th</w:t>
      </w:r>
      <w:r w:rsidR="00A911FD">
        <w:rPr>
          <w:rFonts w:ascii="Arial" w:hAnsi="Arial"/>
          <w:b/>
          <w:sz w:val="24"/>
          <w:szCs w:val="24"/>
          <w:lang w:eastAsia="zh-CN"/>
        </w:rPr>
        <w:t xml:space="preserve"> </w:t>
      </w:r>
      <w:r>
        <w:rPr>
          <w:rFonts w:ascii="Arial" w:hAnsi="Arial"/>
          <w:b/>
          <w:sz w:val="24"/>
          <w:szCs w:val="24"/>
          <w:lang w:eastAsia="zh-CN"/>
        </w:rPr>
        <w:t xml:space="preserve">– </w:t>
      </w:r>
      <w:r w:rsidR="00A911FD">
        <w:rPr>
          <w:rFonts w:ascii="Arial" w:hAnsi="Arial"/>
          <w:b/>
          <w:sz w:val="24"/>
          <w:szCs w:val="24"/>
          <w:lang w:eastAsia="zh-CN"/>
        </w:rPr>
        <w:t>Jan</w:t>
      </w:r>
      <w:r>
        <w:rPr>
          <w:rFonts w:ascii="Arial" w:hAnsi="Arial"/>
          <w:b/>
          <w:sz w:val="24"/>
          <w:szCs w:val="24"/>
          <w:lang w:eastAsia="zh-CN"/>
        </w:rPr>
        <w:t xml:space="preserve"> </w:t>
      </w:r>
      <w:r w:rsidR="00A911FD">
        <w:rPr>
          <w:rFonts w:ascii="Arial" w:hAnsi="Arial"/>
          <w:b/>
          <w:sz w:val="24"/>
          <w:szCs w:val="24"/>
          <w:lang w:eastAsia="zh-CN"/>
        </w:rPr>
        <w:t>26</w:t>
      </w:r>
      <w:r>
        <w:rPr>
          <w:rFonts w:ascii="Arial" w:hAnsi="Arial"/>
          <w:b/>
          <w:sz w:val="24"/>
          <w:szCs w:val="24"/>
          <w:vertAlign w:val="superscript"/>
          <w:lang w:eastAsia="zh-CN"/>
        </w:rPr>
        <w:t>th</w:t>
      </w:r>
      <w:r>
        <w:rPr>
          <w:rFonts w:ascii="Arial" w:hAnsi="Arial"/>
          <w:b/>
          <w:sz w:val="24"/>
          <w:szCs w:val="24"/>
          <w:lang w:eastAsia="zh-CN"/>
        </w:rPr>
        <w:t>, 202</w:t>
      </w:r>
      <w:r w:rsidR="00A911FD">
        <w:rPr>
          <w:rFonts w:ascii="Arial" w:hAnsi="Arial"/>
          <w:b/>
          <w:sz w:val="24"/>
          <w:szCs w:val="24"/>
          <w:lang w:eastAsia="zh-CN"/>
        </w:rPr>
        <w:t>2</w:t>
      </w:r>
      <w:r>
        <w:rPr>
          <w:rFonts w:ascii="Arial" w:hAnsi="Arial" w:cs="Arial"/>
          <w:b/>
          <w:bCs/>
          <w:color w:val="000000"/>
          <w:sz w:val="26"/>
          <w:szCs w:val="26"/>
        </w:rPr>
        <w:t xml:space="preserve">                                     </w:t>
      </w:r>
    </w:p>
    <w:p w14:paraId="326A5EDE" w14:textId="77777777" w:rsidR="00185DC9" w:rsidRDefault="00185DC9" w:rsidP="00185DC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5C647C9" w14:textId="2D68E449" w:rsidR="00185DC9" w:rsidRDefault="00185DC9" w:rsidP="00185DC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15.2</w:t>
      </w:r>
      <w:r w:rsidR="00322A6A">
        <w:rPr>
          <w:rFonts w:ascii="Arial" w:eastAsia="MS Mincho" w:hAnsi="Arial" w:cs="Arial"/>
          <w:b/>
          <w:bCs/>
          <w:sz w:val="24"/>
        </w:rPr>
        <w:t>.2</w:t>
      </w:r>
    </w:p>
    <w:p w14:paraId="12BCBB65" w14:textId="5817A358" w:rsidR="00185DC9" w:rsidRDefault="00185DC9" w:rsidP="00185DC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r w:rsidR="00697D96">
        <w:rPr>
          <w:rFonts w:ascii="Arial" w:eastAsia="Times New Roman" w:hAnsi="Arial" w:cs="Arial"/>
          <w:b/>
          <w:bCs/>
          <w:sz w:val="24"/>
        </w:rPr>
        <w:t>orporated</w:t>
      </w:r>
    </w:p>
    <w:p w14:paraId="6D6DCF35" w14:textId="5BFA018E"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AD2CA3">
        <w:rPr>
          <w:rFonts w:ascii="Arial" w:eastAsia="Times New Roman" w:hAnsi="Arial" w:cs="Arial"/>
          <w:b/>
          <w:bCs/>
          <w:sz w:val="24"/>
        </w:rPr>
        <w:t xml:space="preserve">QoE measurement </w:t>
      </w:r>
      <w:r w:rsidR="001A0126">
        <w:rPr>
          <w:rFonts w:ascii="Arial" w:eastAsia="Times New Roman" w:hAnsi="Arial" w:cs="Arial"/>
          <w:b/>
          <w:bCs/>
          <w:sz w:val="24"/>
        </w:rPr>
        <w:t>collection and reporting continuity in mobility scenarios</w:t>
      </w:r>
    </w:p>
    <w:p w14:paraId="28B302F7" w14:textId="77777777"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768587FB" w14:textId="77777777" w:rsidR="00185DC9" w:rsidRDefault="00185DC9" w:rsidP="00185DC9">
      <w:pPr>
        <w:pStyle w:val="Heading1"/>
        <w:numPr>
          <w:ilvl w:val="0"/>
          <w:numId w:val="2"/>
        </w:numPr>
        <w:pBdr>
          <w:top w:val="single" w:sz="12" w:space="2" w:color="auto"/>
        </w:pBdr>
      </w:pPr>
      <w:r>
        <w:t xml:space="preserve">Introduction </w:t>
      </w:r>
    </w:p>
    <w:p w14:paraId="1C8DD718" w14:textId="3DADC37B" w:rsidR="00185DC9" w:rsidRDefault="00CB35FB" w:rsidP="00185DC9">
      <w:pPr>
        <w:contextualSpacing/>
        <w:rPr>
          <w:lang w:val="en-US"/>
        </w:rPr>
      </w:pPr>
      <w:r w:rsidRPr="00CB35FB">
        <w:rPr>
          <w:lang w:val="en-US"/>
        </w:rPr>
        <w:t>In this paper, we discuss</w:t>
      </w:r>
      <w:r w:rsidR="00680D8F">
        <w:rPr>
          <w:lang w:val="en-US"/>
        </w:rPr>
        <w:t xml:space="preserve"> mobility related QoE issues </w:t>
      </w:r>
      <w:r w:rsidRPr="00CB35FB">
        <w:rPr>
          <w:lang w:val="en-US"/>
        </w:rPr>
        <w:t xml:space="preserve">based on some agreements and open issues identified </w:t>
      </w:r>
      <w:r w:rsidR="00680D8F">
        <w:rPr>
          <w:lang w:val="en-US"/>
        </w:rPr>
        <w:t>from previous meetings</w:t>
      </w:r>
      <w:r w:rsidRPr="00CB35FB">
        <w:rPr>
          <w:lang w:val="en-US"/>
        </w:rPr>
        <w:t>.</w:t>
      </w:r>
    </w:p>
    <w:p w14:paraId="4E311615" w14:textId="2FD75500" w:rsidR="00242EEC" w:rsidRDefault="00242EEC" w:rsidP="00185DC9">
      <w:pPr>
        <w:contextualSpacing/>
        <w:rPr>
          <w:lang w:val="en-US"/>
        </w:rPr>
      </w:pPr>
    </w:p>
    <w:p w14:paraId="3B65FFE4" w14:textId="77777777" w:rsidR="0020298D" w:rsidRPr="00971894" w:rsidRDefault="0020298D" w:rsidP="0020298D">
      <w:pPr>
        <w:spacing w:before="120" w:after="0"/>
        <w:contextualSpacing/>
        <w:rPr>
          <w:rFonts w:ascii="Calibri" w:hAnsi="Calibri" w:cs="Calibri"/>
          <w:b/>
          <w:color w:val="008000"/>
          <w:sz w:val="18"/>
          <w:szCs w:val="24"/>
        </w:rPr>
      </w:pPr>
      <w:r w:rsidRPr="00971894">
        <w:rPr>
          <w:rFonts w:ascii="Calibri" w:hAnsi="Calibri" w:cs="Calibri"/>
          <w:b/>
          <w:color w:val="008000"/>
          <w:sz w:val="18"/>
          <w:szCs w:val="24"/>
        </w:rPr>
        <w:t>For a service type, in Rel17, a UE can be simultaneously configured with multiple s- and/or m-based configurations, as long as the maximum number of simultaneous configurations at a UE is not exceeded.</w:t>
      </w:r>
    </w:p>
    <w:p w14:paraId="5316B0CF" w14:textId="77777777" w:rsidR="0020298D" w:rsidRPr="00971894" w:rsidRDefault="0020298D" w:rsidP="0020298D">
      <w:pPr>
        <w:spacing w:before="120" w:after="0"/>
        <w:contextualSpacing/>
        <w:rPr>
          <w:rFonts w:ascii="Calibri" w:hAnsi="Calibri" w:cs="Calibri"/>
          <w:b/>
          <w:color w:val="008000"/>
          <w:sz w:val="18"/>
          <w:szCs w:val="24"/>
        </w:rPr>
      </w:pPr>
      <w:r w:rsidRPr="00971894">
        <w:rPr>
          <w:rFonts w:ascii="Calibri" w:hAnsi="Calibri" w:cs="Calibri"/>
          <w:b/>
          <w:color w:val="008000"/>
          <w:sz w:val="18"/>
          <w:szCs w:val="24"/>
        </w:rPr>
        <w:t>The network can replace a configuration with another one of m- or s-based configuration by deactivating an existing measurement and configuring another measurement of the same configuration type.</w:t>
      </w:r>
    </w:p>
    <w:p w14:paraId="2889CD04" w14:textId="77777777" w:rsidR="0020298D" w:rsidRPr="00971894" w:rsidRDefault="0020298D" w:rsidP="0020298D">
      <w:pPr>
        <w:spacing w:before="120" w:after="0"/>
        <w:contextualSpacing/>
        <w:rPr>
          <w:rFonts w:ascii="Calibri" w:hAnsi="Calibri" w:cs="Calibri"/>
          <w:b/>
          <w:color w:val="008000"/>
          <w:sz w:val="18"/>
          <w:szCs w:val="24"/>
        </w:rPr>
      </w:pPr>
      <w:r w:rsidRPr="00971894">
        <w:rPr>
          <w:rFonts w:ascii="Calibri" w:hAnsi="Calibri" w:cs="Calibri"/>
          <w:b/>
          <w:color w:val="008000"/>
          <w:sz w:val="18"/>
          <w:szCs w:val="24"/>
        </w:rPr>
        <w:t xml:space="preserve">RAN3 assumes that the OAM will never provide the same QoE Reference to different QoE configurations irrespective of QoE type. </w:t>
      </w:r>
    </w:p>
    <w:p w14:paraId="498AE7CC" w14:textId="77777777" w:rsidR="0020298D" w:rsidRPr="00971894" w:rsidRDefault="0020298D" w:rsidP="0020298D">
      <w:pPr>
        <w:contextualSpacing/>
        <w:rPr>
          <w:rFonts w:ascii="Calibri" w:hAnsi="Calibri" w:cs="Calibri"/>
          <w:b/>
          <w:color w:val="008000"/>
          <w:sz w:val="18"/>
          <w:szCs w:val="24"/>
        </w:rPr>
      </w:pPr>
      <w:r w:rsidRPr="00971894">
        <w:rPr>
          <w:rFonts w:ascii="Calibri" w:hAnsi="Calibri" w:cs="Calibri"/>
          <w:b/>
          <w:color w:val="008000"/>
          <w:sz w:val="18"/>
          <w:szCs w:val="24"/>
        </w:rPr>
        <w:t>A UE should continue an ongoing measurement once it leaves the Area, unless the network indicates to the UE to release the QoE configuration.</w:t>
      </w:r>
    </w:p>
    <w:p w14:paraId="70EB52AD" w14:textId="77777777" w:rsidR="0020298D" w:rsidRPr="00971894" w:rsidRDefault="0020298D" w:rsidP="0020298D">
      <w:pPr>
        <w:spacing w:before="120" w:after="0"/>
        <w:contextualSpacing/>
        <w:rPr>
          <w:rFonts w:ascii="Calibri" w:hAnsi="Calibri" w:cs="Calibri"/>
          <w:b/>
          <w:color w:val="008000"/>
          <w:sz w:val="18"/>
          <w:szCs w:val="24"/>
        </w:rPr>
      </w:pPr>
      <w:r w:rsidRPr="00971894">
        <w:rPr>
          <w:rFonts w:ascii="Calibri" w:hAnsi="Calibri" w:cs="Calibri"/>
          <w:b/>
          <w:color w:val="008000"/>
          <w:sz w:val="18"/>
          <w:szCs w:val="24"/>
        </w:rPr>
        <w:t>The following information about an m-based measurement configuration should be explicitly passed to the target during handover:</w:t>
      </w:r>
    </w:p>
    <w:p w14:paraId="0ECFA153" w14:textId="77777777" w:rsidR="0020298D" w:rsidRPr="0020298D" w:rsidRDefault="0020298D" w:rsidP="000E0F68">
      <w:pPr>
        <w:pStyle w:val="ListParagraph"/>
        <w:numPr>
          <w:ilvl w:val="0"/>
          <w:numId w:val="3"/>
        </w:numPr>
        <w:spacing w:before="120" w:after="0"/>
        <w:rPr>
          <w:rFonts w:ascii="Calibri" w:hAnsi="Calibri" w:cs="Calibri"/>
          <w:b/>
          <w:color w:val="008000"/>
          <w:sz w:val="18"/>
          <w:szCs w:val="24"/>
        </w:rPr>
      </w:pPr>
      <w:r w:rsidRPr="0020298D">
        <w:rPr>
          <w:rFonts w:ascii="Calibri" w:hAnsi="Calibri" w:cs="Calibri"/>
          <w:b/>
          <w:color w:val="008000"/>
          <w:sz w:val="18"/>
          <w:szCs w:val="24"/>
        </w:rPr>
        <w:t>The Measurement Configuration Application Layer ID corresponding to the QoE Reference.</w:t>
      </w:r>
    </w:p>
    <w:p w14:paraId="4E6CA4F9" w14:textId="77777777" w:rsidR="0020298D" w:rsidRPr="0020298D" w:rsidRDefault="0020298D" w:rsidP="000E0F68">
      <w:pPr>
        <w:pStyle w:val="ListParagraph"/>
        <w:numPr>
          <w:ilvl w:val="0"/>
          <w:numId w:val="3"/>
        </w:numPr>
        <w:spacing w:before="120" w:after="0"/>
        <w:rPr>
          <w:rFonts w:ascii="Calibri" w:hAnsi="Calibri" w:cs="Calibri"/>
          <w:b/>
          <w:color w:val="008000"/>
          <w:sz w:val="18"/>
          <w:szCs w:val="24"/>
        </w:rPr>
      </w:pPr>
      <w:r w:rsidRPr="0020298D">
        <w:rPr>
          <w:rFonts w:ascii="Calibri" w:hAnsi="Calibri" w:cs="Calibri"/>
          <w:b/>
          <w:color w:val="008000"/>
          <w:sz w:val="18"/>
          <w:szCs w:val="24"/>
        </w:rPr>
        <w:t>MDT Alignment info.</w:t>
      </w:r>
    </w:p>
    <w:p w14:paraId="3901CAA9" w14:textId="77777777" w:rsidR="0020298D" w:rsidRPr="0020298D" w:rsidRDefault="0020298D" w:rsidP="000E0F68">
      <w:pPr>
        <w:pStyle w:val="ListParagraph"/>
        <w:numPr>
          <w:ilvl w:val="0"/>
          <w:numId w:val="3"/>
        </w:numPr>
        <w:spacing w:before="120" w:after="0"/>
        <w:rPr>
          <w:rFonts w:ascii="Calibri" w:hAnsi="Calibri" w:cs="Calibri"/>
          <w:b/>
          <w:color w:val="008000"/>
          <w:sz w:val="18"/>
          <w:szCs w:val="24"/>
        </w:rPr>
      </w:pPr>
      <w:r w:rsidRPr="0020298D">
        <w:rPr>
          <w:rFonts w:ascii="Calibri" w:hAnsi="Calibri" w:cs="Calibri"/>
          <w:b/>
          <w:color w:val="008000"/>
          <w:sz w:val="18"/>
          <w:szCs w:val="24"/>
        </w:rPr>
        <w:t>MCE IP address.</w:t>
      </w:r>
    </w:p>
    <w:p w14:paraId="14C885F2" w14:textId="77777777" w:rsidR="0020298D" w:rsidRPr="0020298D" w:rsidRDefault="0020298D" w:rsidP="000E0F68">
      <w:pPr>
        <w:pStyle w:val="ListParagraph"/>
        <w:numPr>
          <w:ilvl w:val="0"/>
          <w:numId w:val="3"/>
        </w:numPr>
        <w:spacing w:before="120" w:after="0"/>
        <w:rPr>
          <w:rFonts w:ascii="Calibri" w:hAnsi="Calibri" w:cs="Calibri"/>
          <w:b/>
          <w:color w:val="008000"/>
          <w:sz w:val="18"/>
          <w:szCs w:val="24"/>
        </w:rPr>
      </w:pPr>
      <w:r w:rsidRPr="0020298D">
        <w:rPr>
          <w:rFonts w:ascii="Calibri" w:hAnsi="Calibri" w:cs="Calibri"/>
          <w:b/>
          <w:color w:val="008000"/>
          <w:sz w:val="18"/>
          <w:szCs w:val="24"/>
        </w:rPr>
        <w:t xml:space="preserve">WA: Measurement status. </w:t>
      </w:r>
    </w:p>
    <w:p w14:paraId="6BC75281" w14:textId="77777777" w:rsidR="0020298D" w:rsidRPr="00971894" w:rsidRDefault="0020298D" w:rsidP="0020298D">
      <w:pPr>
        <w:spacing w:before="120" w:after="0"/>
        <w:contextualSpacing/>
        <w:rPr>
          <w:rFonts w:ascii="Calibri" w:hAnsi="Calibri" w:cs="Calibri"/>
          <w:b/>
          <w:color w:val="008000"/>
          <w:sz w:val="18"/>
          <w:szCs w:val="24"/>
        </w:rPr>
      </w:pPr>
      <w:r w:rsidRPr="00971894">
        <w:rPr>
          <w:rFonts w:ascii="Calibri" w:hAnsi="Calibri" w:cs="Calibri"/>
          <w:b/>
          <w:color w:val="008000"/>
          <w:sz w:val="18"/>
          <w:szCs w:val="24"/>
        </w:rPr>
        <w:t xml:space="preserve">For m-based QoE, the QoE configuration container (XML file) is not included in NGAP and XnAP handover messages. FFS for s-based QoE. </w:t>
      </w:r>
    </w:p>
    <w:p w14:paraId="58B5048A" w14:textId="77777777" w:rsidR="0020298D" w:rsidRPr="00971894" w:rsidRDefault="0020298D" w:rsidP="0020298D">
      <w:pPr>
        <w:spacing w:before="120" w:after="0"/>
        <w:contextualSpacing/>
        <w:rPr>
          <w:rFonts w:ascii="Calibri" w:hAnsi="Calibri" w:cs="Calibri"/>
          <w:b/>
          <w:color w:val="008000"/>
          <w:sz w:val="18"/>
          <w:szCs w:val="24"/>
        </w:rPr>
      </w:pPr>
      <w:r w:rsidRPr="00971894">
        <w:rPr>
          <w:rFonts w:ascii="Calibri" w:hAnsi="Calibri" w:cs="Calibri"/>
          <w:b/>
          <w:color w:val="008000"/>
          <w:sz w:val="18"/>
          <w:szCs w:val="24"/>
        </w:rPr>
        <w:t>The following information is explicitly passed to the target at handover:</w:t>
      </w:r>
    </w:p>
    <w:p w14:paraId="337C0EB4" w14:textId="77777777" w:rsidR="0020298D" w:rsidRPr="0020298D" w:rsidRDefault="0020298D" w:rsidP="000E0F68">
      <w:pPr>
        <w:pStyle w:val="ListParagraph"/>
        <w:numPr>
          <w:ilvl w:val="0"/>
          <w:numId w:val="4"/>
        </w:numPr>
        <w:spacing w:before="120" w:after="0"/>
        <w:rPr>
          <w:rFonts w:ascii="Calibri" w:hAnsi="Calibri" w:cs="Calibri"/>
          <w:b/>
          <w:color w:val="008000"/>
          <w:sz w:val="18"/>
          <w:szCs w:val="24"/>
        </w:rPr>
      </w:pPr>
      <w:r w:rsidRPr="0020298D">
        <w:rPr>
          <w:rFonts w:ascii="Calibri" w:hAnsi="Calibri" w:cs="Calibri"/>
          <w:b/>
          <w:color w:val="008000"/>
          <w:sz w:val="18"/>
          <w:szCs w:val="24"/>
        </w:rPr>
        <w:t>QoE reference.</w:t>
      </w:r>
    </w:p>
    <w:p w14:paraId="394CF0CC" w14:textId="77777777" w:rsidR="0020298D" w:rsidRPr="0020298D" w:rsidRDefault="0020298D" w:rsidP="000E0F68">
      <w:pPr>
        <w:pStyle w:val="ListParagraph"/>
        <w:numPr>
          <w:ilvl w:val="0"/>
          <w:numId w:val="4"/>
        </w:numPr>
        <w:spacing w:before="120" w:after="0"/>
        <w:rPr>
          <w:rFonts w:ascii="Calibri" w:hAnsi="Calibri" w:cs="Calibri"/>
          <w:b/>
          <w:color w:val="008000"/>
          <w:sz w:val="18"/>
          <w:szCs w:val="24"/>
        </w:rPr>
      </w:pPr>
      <w:r w:rsidRPr="0020298D">
        <w:rPr>
          <w:rFonts w:ascii="Calibri" w:hAnsi="Calibri" w:cs="Calibri"/>
          <w:b/>
          <w:color w:val="008000"/>
          <w:sz w:val="18"/>
          <w:szCs w:val="24"/>
        </w:rPr>
        <w:t>MCE IP address.</w:t>
      </w:r>
    </w:p>
    <w:p w14:paraId="57BEA10B" w14:textId="77777777" w:rsidR="0020298D" w:rsidRPr="0020298D" w:rsidRDefault="0020298D" w:rsidP="000E0F68">
      <w:pPr>
        <w:pStyle w:val="ListParagraph"/>
        <w:numPr>
          <w:ilvl w:val="0"/>
          <w:numId w:val="4"/>
        </w:numPr>
        <w:spacing w:before="120" w:after="0"/>
        <w:rPr>
          <w:rFonts w:ascii="Calibri" w:hAnsi="Calibri" w:cs="Calibri"/>
          <w:b/>
          <w:color w:val="008000"/>
          <w:sz w:val="18"/>
          <w:szCs w:val="24"/>
        </w:rPr>
      </w:pPr>
      <w:r w:rsidRPr="0020298D">
        <w:rPr>
          <w:rFonts w:ascii="Calibri" w:hAnsi="Calibri" w:cs="Calibri"/>
          <w:b/>
          <w:color w:val="008000"/>
          <w:sz w:val="18"/>
          <w:szCs w:val="24"/>
        </w:rPr>
        <w:t>The Measurement Configuration Application Layer ID corresponding to the QoE Reference.</w:t>
      </w:r>
    </w:p>
    <w:p w14:paraId="47350228" w14:textId="77777777" w:rsidR="0020298D" w:rsidRPr="0020298D" w:rsidRDefault="0020298D" w:rsidP="000E0F68">
      <w:pPr>
        <w:pStyle w:val="ListParagraph"/>
        <w:numPr>
          <w:ilvl w:val="0"/>
          <w:numId w:val="4"/>
        </w:numPr>
        <w:spacing w:before="120" w:after="0"/>
        <w:rPr>
          <w:rFonts w:ascii="Calibri" w:hAnsi="Calibri" w:cs="Calibri"/>
          <w:b/>
          <w:color w:val="008000"/>
          <w:sz w:val="18"/>
          <w:szCs w:val="24"/>
        </w:rPr>
      </w:pPr>
      <w:r w:rsidRPr="0020298D">
        <w:rPr>
          <w:rFonts w:ascii="Calibri" w:hAnsi="Calibri" w:cs="Calibri"/>
          <w:b/>
          <w:color w:val="008000"/>
          <w:sz w:val="18"/>
          <w:szCs w:val="24"/>
        </w:rPr>
        <w:t xml:space="preserve">WA: Measurement status. </w:t>
      </w:r>
    </w:p>
    <w:p w14:paraId="57A0863B" w14:textId="77777777" w:rsidR="0020298D" w:rsidRPr="0020298D" w:rsidRDefault="0020298D" w:rsidP="000E0F68">
      <w:pPr>
        <w:pStyle w:val="ListParagraph"/>
        <w:numPr>
          <w:ilvl w:val="0"/>
          <w:numId w:val="4"/>
        </w:numPr>
        <w:spacing w:before="120" w:after="0"/>
        <w:rPr>
          <w:rFonts w:ascii="Calibri" w:hAnsi="Calibri" w:cs="Calibri"/>
          <w:b/>
          <w:color w:val="008000"/>
          <w:sz w:val="18"/>
          <w:szCs w:val="24"/>
        </w:rPr>
      </w:pPr>
      <w:r w:rsidRPr="0020298D">
        <w:rPr>
          <w:rFonts w:ascii="Calibri" w:hAnsi="Calibri" w:cs="Calibri"/>
          <w:b/>
          <w:color w:val="008000"/>
          <w:sz w:val="18"/>
          <w:szCs w:val="24"/>
        </w:rPr>
        <w:t>MDT Alignment info.</w:t>
      </w:r>
    </w:p>
    <w:p w14:paraId="444A6D22" w14:textId="77777777" w:rsidR="0020298D" w:rsidRPr="0020298D" w:rsidRDefault="0020298D" w:rsidP="000E0F68">
      <w:pPr>
        <w:pStyle w:val="ListParagraph"/>
        <w:numPr>
          <w:ilvl w:val="0"/>
          <w:numId w:val="4"/>
        </w:numPr>
        <w:spacing w:before="120" w:after="0"/>
        <w:rPr>
          <w:rFonts w:ascii="Calibri" w:hAnsi="Calibri" w:cs="Calibri"/>
          <w:b/>
          <w:color w:val="008000"/>
          <w:sz w:val="18"/>
          <w:szCs w:val="24"/>
        </w:rPr>
      </w:pPr>
      <w:r w:rsidRPr="0020298D">
        <w:rPr>
          <w:rFonts w:ascii="Calibri" w:hAnsi="Calibri" w:cs="Calibri"/>
          <w:b/>
          <w:color w:val="008000"/>
          <w:sz w:val="18"/>
          <w:szCs w:val="24"/>
        </w:rPr>
        <w:t>Area Scope.</w:t>
      </w:r>
    </w:p>
    <w:p w14:paraId="76499A2C" w14:textId="77777777" w:rsidR="0020298D" w:rsidRPr="0020298D" w:rsidRDefault="0020298D" w:rsidP="000E0F68">
      <w:pPr>
        <w:pStyle w:val="ListParagraph"/>
        <w:numPr>
          <w:ilvl w:val="0"/>
          <w:numId w:val="4"/>
        </w:numPr>
        <w:spacing w:before="120" w:after="0"/>
        <w:rPr>
          <w:rFonts w:ascii="Calibri" w:hAnsi="Calibri" w:cs="Calibri"/>
          <w:b/>
          <w:color w:val="008000"/>
          <w:sz w:val="18"/>
          <w:szCs w:val="24"/>
        </w:rPr>
      </w:pPr>
      <w:r w:rsidRPr="0020298D">
        <w:rPr>
          <w:rFonts w:ascii="Calibri" w:hAnsi="Calibri" w:cs="Calibri"/>
          <w:b/>
          <w:color w:val="008000"/>
          <w:sz w:val="18"/>
          <w:szCs w:val="24"/>
        </w:rPr>
        <w:t>Slice list.</w:t>
      </w:r>
    </w:p>
    <w:p w14:paraId="00AC8E9D" w14:textId="77777777" w:rsidR="0020298D" w:rsidRPr="00971894" w:rsidRDefault="0020298D" w:rsidP="0020298D">
      <w:pPr>
        <w:spacing w:before="120" w:after="0"/>
        <w:contextualSpacing/>
        <w:rPr>
          <w:rFonts w:ascii="Calibri" w:hAnsi="Calibri" w:cs="Calibri"/>
          <w:b/>
          <w:color w:val="008000"/>
          <w:sz w:val="18"/>
          <w:szCs w:val="24"/>
        </w:rPr>
      </w:pPr>
      <w:r w:rsidRPr="00971894">
        <w:rPr>
          <w:rFonts w:ascii="Calibri" w:hAnsi="Calibri" w:cs="Calibri"/>
          <w:b/>
          <w:color w:val="008000"/>
          <w:sz w:val="18"/>
          <w:szCs w:val="24"/>
        </w:rPr>
        <w:t>For both s- and m-based QoE, the QMC Information IE (which does not include the QoE configuration container) is explicitly included in the XnAP RETRIEVE UE CONTEXT RESPONSE.</w:t>
      </w:r>
    </w:p>
    <w:p w14:paraId="0C0441EB" w14:textId="70F673B0" w:rsidR="00636EF0" w:rsidRDefault="0020298D" w:rsidP="0020298D">
      <w:pPr>
        <w:spacing w:before="120" w:after="0"/>
        <w:contextualSpacing/>
        <w:rPr>
          <w:lang w:val="en-US"/>
        </w:rPr>
      </w:pPr>
      <w:r w:rsidRPr="00971894">
        <w:rPr>
          <w:rFonts w:ascii="Calibri" w:hAnsi="Calibri" w:cs="Calibri"/>
          <w:b/>
          <w:color w:val="008000"/>
          <w:sz w:val="18"/>
          <w:szCs w:val="24"/>
        </w:rPr>
        <w:t>In case of mobility to a target node not supporting QoE, the target node can release the QoE configuration.</w:t>
      </w:r>
    </w:p>
    <w:p w14:paraId="6B5D2CEC" w14:textId="3C4A722D" w:rsidR="00185DC9" w:rsidRDefault="00185DC9" w:rsidP="00185DC9">
      <w:pPr>
        <w:pStyle w:val="Heading1"/>
        <w:numPr>
          <w:ilvl w:val="0"/>
          <w:numId w:val="2"/>
        </w:numPr>
        <w:pBdr>
          <w:top w:val="single" w:sz="12" w:space="2" w:color="auto"/>
        </w:pBdr>
      </w:pPr>
      <w:r>
        <w:t>Discussion</w:t>
      </w:r>
    </w:p>
    <w:p w14:paraId="0F0AEB7D" w14:textId="380958F0" w:rsidR="000E0F68" w:rsidRPr="000E0F68" w:rsidRDefault="000E0F68" w:rsidP="000E0F68">
      <w:r>
        <w:t>In last meeting (R3#114e), BL CR for TS 38.423 was drafted and there were some open issues which are discussed below:</w:t>
      </w:r>
    </w:p>
    <w:p w14:paraId="7D662DD3" w14:textId="4B33B812" w:rsidR="00CB6945" w:rsidRDefault="0001162A" w:rsidP="00CB6945">
      <w:pPr>
        <w:rPr>
          <w:lang w:eastAsia="x-none"/>
        </w:rPr>
      </w:pPr>
      <w:r>
        <w:rPr>
          <w:b/>
          <w:bCs/>
          <w:lang w:eastAsia="x-none"/>
        </w:rPr>
        <w:lastRenderedPageBreak/>
        <w:t>Proposal</w:t>
      </w:r>
      <w:r w:rsidR="00F54F32">
        <w:rPr>
          <w:b/>
          <w:bCs/>
          <w:lang w:eastAsia="x-none"/>
        </w:rPr>
        <w:t xml:space="preserve"> 1</w:t>
      </w:r>
      <w:r w:rsidR="00CB6945">
        <w:rPr>
          <w:lang w:eastAsia="x-none"/>
        </w:rPr>
        <w:t>: NG-</w:t>
      </w:r>
      <w:r w:rsidR="00CB6945" w:rsidRPr="00F87CF3">
        <w:rPr>
          <w:lang w:eastAsia="x-none"/>
        </w:rPr>
        <w:t xml:space="preserve">RAN nodes are responsible for passing the </w:t>
      </w:r>
      <w:r w:rsidR="00707D39">
        <w:rPr>
          <w:lang w:eastAsia="x-none"/>
        </w:rPr>
        <w:t xml:space="preserve">alignment information </w:t>
      </w:r>
      <w:r w:rsidR="00CB6945" w:rsidRPr="00F87CF3">
        <w:rPr>
          <w:lang w:eastAsia="x-none"/>
        </w:rPr>
        <w:t>between QoE and MDT during mobility</w:t>
      </w:r>
      <w:r w:rsidR="00CB6945">
        <w:rPr>
          <w:lang w:eastAsia="x-none"/>
        </w:rPr>
        <w:t xml:space="preserve"> i.e., a source NG-RAN should inform the MDT alignment information to its target node during handover and UE context retrieval</w:t>
      </w:r>
    </w:p>
    <w:p w14:paraId="53F8FAA0" w14:textId="77777777" w:rsidR="00CB6945" w:rsidRDefault="00CB6945" w:rsidP="00CB6945">
      <w:pPr>
        <w:rPr>
          <w:lang w:eastAsia="x-none"/>
        </w:rPr>
      </w:pPr>
    </w:p>
    <w:tbl>
      <w:tblPr>
        <w:tblStyle w:val="TableGrid"/>
        <w:tblW w:w="0" w:type="auto"/>
        <w:tblLook w:val="04A0" w:firstRow="1" w:lastRow="0" w:firstColumn="1" w:lastColumn="0" w:noHBand="0" w:noVBand="1"/>
      </w:tblPr>
      <w:tblGrid>
        <w:gridCol w:w="3116"/>
        <w:gridCol w:w="3117"/>
        <w:gridCol w:w="3117"/>
      </w:tblGrid>
      <w:tr w:rsidR="00CB6945" w14:paraId="406EE625" w14:textId="77777777" w:rsidTr="006F7279">
        <w:tc>
          <w:tcPr>
            <w:tcW w:w="3116" w:type="dxa"/>
          </w:tcPr>
          <w:p w14:paraId="11B3B973" w14:textId="77777777" w:rsidR="00CB6945" w:rsidRDefault="00CB6945" w:rsidP="006F7279">
            <w:pPr>
              <w:rPr>
                <w:lang w:eastAsia="x-none"/>
              </w:rPr>
            </w:pPr>
          </w:p>
        </w:tc>
        <w:tc>
          <w:tcPr>
            <w:tcW w:w="3117" w:type="dxa"/>
          </w:tcPr>
          <w:p w14:paraId="36DE24C7" w14:textId="77777777" w:rsidR="00CB6945" w:rsidRDefault="00CB6945" w:rsidP="006F7279">
            <w:pPr>
              <w:rPr>
                <w:lang w:eastAsia="x-none"/>
              </w:rPr>
            </w:pPr>
            <w:r>
              <w:rPr>
                <w:lang w:eastAsia="x-none"/>
              </w:rPr>
              <w:t>s-based QoE</w:t>
            </w:r>
          </w:p>
        </w:tc>
        <w:tc>
          <w:tcPr>
            <w:tcW w:w="3117" w:type="dxa"/>
          </w:tcPr>
          <w:p w14:paraId="0335C262" w14:textId="77777777" w:rsidR="00CB6945" w:rsidRDefault="00CB6945" w:rsidP="006F7279">
            <w:pPr>
              <w:rPr>
                <w:lang w:eastAsia="x-none"/>
              </w:rPr>
            </w:pPr>
            <w:r>
              <w:rPr>
                <w:lang w:eastAsia="x-none"/>
              </w:rPr>
              <w:t>m-based QoE</w:t>
            </w:r>
          </w:p>
        </w:tc>
      </w:tr>
      <w:tr w:rsidR="00CB6945" w14:paraId="42C37FFB" w14:textId="77777777" w:rsidTr="006F7279">
        <w:tc>
          <w:tcPr>
            <w:tcW w:w="3116" w:type="dxa"/>
          </w:tcPr>
          <w:p w14:paraId="797FEA4A" w14:textId="77777777" w:rsidR="00CB6945" w:rsidRDefault="00CB6945" w:rsidP="006F7279">
            <w:pPr>
              <w:rPr>
                <w:lang w:eastAsia="x-none"/>
              </w:rPr>
            </w:pPr>
            <w:r>
              <w:rPr>
                <w:lang w:eastAsia="x-none"/>
              </w:rPr>
              <w:t>Container</w:t>
            </w:r>
          </w:p>
        </w:tc>
        <w:tc>
          <w:tcPr>
            <w:tcW w:w="3117" w:type="dxa"/>
          </w:tcPr>
          <w:p w14:paraId="3B4C095A" w14:textId="6EF3BBAC" w:rsidR="00CB6945" w:rsidRPr="001262FF" w:rsidRDefault="00A35094" w:rsidP="006F7279">
            <w:pPr>
              <w:rPr>
                <w:color w:val="0070C0"/>
                <w:lang w:eastAsia="x-none"/>
              </w:rPr>
            </w:pPr>
            <w:r w:rsidRPr="00707D39">
              <w:rPr>
                <w:color w:val="0070C0"/>
                <w:lang w:eastAsia="x-none"/>
              </w:rPr>
              <w:t>Yes</w:t>
            </w:r>
            <w:r w:rsidR="00CB6945" w:rsidRPr="00707D39">
              <w:rPr>
                <w:color w:val="0070C0"/>
                <w:lang w:eastAsia="x-none"/>
              </w:rPr>
              <w:t xml:space="preserve"> </w:t>
            </w:r>
          </w:p>
        </w:tc>
        <w:tc>
          <w:tcPr>
            <w:tcW w:w="3117" w:type="dxa"/>
          </w:tcPr>
          <w:p w14:paraId="6F0F8DE5" w14:textId="77777777" w:rsidR="00CB6945" w:rsidRPr="001262FF" w:rsidRDefault="00CB6945" w:rsidP="006F7279">
            <w:pPr>
              <w:rPr>
                <w:color w:val="0070C0"/>
                <w:lang w:eastAsia="x-none"/>
              </w:rPr>
            </w:pPr>
            <w:r w:rsidRPr="00707D39">
              <w:rPr>
                <w:color w:val="FF0000"/>
                <w:lang w:eastAsia="x-none"/>
              </w:rPr>
              <w:t>No</w:t>
            </w:r>
          </w:p>
        </w:tc>
      </w:tr>
      <w:tr w:rsidR="00CB6945" w14:paraId="2C71FDF1" w14:textId="77777777" w:rsidTr="006F7279">
        <w:tc>
          <w:tcPr>
            <w:tcW w:w="3116" w:type="dxa"/>
          </w:tcPr>
          <w:p w14:paraId="61118856" w14:textId="77777777" w:rsidR="00CB6945" w:rsidRDefault="00CB6945" w:rsidP="006F7279">
            <w:pPr>
              <w:rPr>
                <w:lang w:eastAsia="x-none"/>
              </w:rPr>
            </w:pPr>
            <w:r>
              <w:rPr>
                <w:lang w:eastAsia="x-none"/>
              </w:rPr>
              <w:t>MeasConfigAppLayerID</w:t>
            </w:r>
          </w:p>
        </w:tc>
        <w:tc>
          <w:tcPr>
            <w:tcW w:w="3117" w:type="dxa"/>
          </w:tcPr>
          <w:p w14:paraId="78A8485F" w14:textId="77777777" w:rsidR="00CB6945" w:rsidRPr="001262FF" w:rsidRDefault="00CB6945" w:rsidP="006F7279">
            <w:pPr>
              <w:rPr>
                <w:color w:val="0070C0"/>
                <w:lang w:eastAsia="x-none"/>
              </w:rPr>
            </w:pPr>
            <w:r w:rsidRPr="001262FF">
              <w:rPr>
                <w:color w:val="0070C0"/>
                <w:lang w:eastAsia="x-none"/>
              </w:rPr>
              <w:t>Yes</w:t>
            </w:r>
          </w:p>
        </w:tc>
        <w:tc>
          <w:tcPr>
            <w:tcW w:w="3117" w:type="dxa"/>
          </w:tcPr>
          <w:p w14:paraId="6AED4B63" w14:textId="77777777" w:rsidR="00CB6945" w:rsidRPr="001262FF" w:rsidRDefault="00CB6945" w:rsidP="006F7279">
            <w:pPr>
              <w:rPr>
                <w:color w:val="0070C0"/>
                <w:lang w:eastAsia="x-none"/>
              </w:rPr>
            </w:pPr>
            <w:r w:rsidRPr="001262FF">
              <w:rPr>
                <w:color w:val="0070C0"/>
                <w:lang w:eastAsia="x-none"/>
              </w:rPr>
              <w:t>Yes</w:t>
            </w:r>
          </w:p>
        </w:tc>
      </w:tr>
      <w:tr w:rsidR="00CB6945" w14:paraId="0F63679F" w14:textId="77777777" w:rsidTr="006F7279">
        <w:tc>
          <w:tcPr>
            <w:tcW w:w="3116" w:type="dxa"/>
          </w:tcPr>
          <w:p w14:paraId="2C27CC76" w14:textId="77777777" w:rsidR="00CB6945" w:rsidRDefault="00CB6945" w:rsidP="006F7279">
            <w:pPr>
              <w:rPr>
                <w:lang w:eastAsia="x-none"/>
              </w:rPr>
            </w:pPr>
            <w:r>
              <w:rPr>
                <w:lang w:eastAsia="x-none"/>
              </w:rPr>
              <w:t>Area Scope</w:t>
            </w:r>
          </w:p>
        </w:tc>
        <w:tc>
          <w:tcPr>
            <w:tcW w:w="3117" w:type="dxa"/>
          </w:tcPr>
          <w:p w14:paraId="0DDB9067" w14:textId="77777777" w:rsidR="00CB6945" w:rsidRPr="001262FF" w:rsidRDefault="00CB6945" w:rsidP="006F7279">
            <w:pPr>
              <w:rPr>
                <w:color w:val="0070C0"/>
                <w:lang w:eastAsia="x-none"/>
              </w:rPr>
            </w:pPr>
            <w:r w:rsidRPr="001262FF">
              <w:rPr>
                <w:color w:val="0070C0"/>
                <w:lang w:eastAsia="x-none"/>
              </w:rPr>
              <w:t>Yes</w:t>
            </w:r>
          </w:p>
        </w:tc>
        <w:tc>
          <w:tcPr>
            <w:tcW w:w="3117" w:type="dxa"/>
          </w:tcPr>
          <w:p w14:paraId="3B3F8879" w14:textId="74D87315" w:rsidR="00CB6945" w:rsidRPr="00707D39" w:rsidRDefault="002E3BA9" w:rsidP="006F7279">
            <w:pPr>
              <w:rPr>
                <w:color w:val="FF0000"/>
                <w:lang w:eastAsia="x-none"/>
              </w:rPr>
            </w:pPr>
            <w:r w:rsidRPr="00707D39">
              <w:rPr>
                <w:color w:val="FF0000"/>
                <w:lang w:eastAsia="x-none"/>
              </w:rPr>
              <w:t>No</w:t>
            </w:r>
          </w:p>
        </w:tc>
      </w:tr>
      <w:tr w:rsidR="00CB6945" w14:paraId="7F2AC40F" w14:textId="77777777" w:rsidTr="006F7279">
        <w:tc>
          <w:tcPr>
            <w:tcW w:w="3116" w:type="dxa"/>
          </w:tcPr>
          <w:p w14:paraId="738AF42F" w14:textId="77777777" w:rsidR="00CB6945" w:rsidRDefault="00CB6945" w:rsidP="006F7279">
            <w:pPr>
              <w:rPr>
                <w:lang w:eastAsia="x-none"/>
              </w:rPr>
            </w:pPr>
            <w:r>
              <w:rPr>
                <w:lang w:eastAsia="x-none"/>
              </w:rPr>
              <w:t>Service Type</w:t>
            </w:r>
          </w:p>
        </w:tc>
        <w:tc>
          <w:tcPr>
            <w:tcW w:w="3117" w:type="dxa"/>
          </w:tcPr>
          <w:p w14:paraId="34C69C78" w14:textId="52154B5E" w:rsidR="00CB6945" w:rsidRPr="001262FF" w:rsidRDefault="001B5BF9" w:rsidP="006F7279">
            <w:pPr>
              <w:rPr>
                <w:color w:val="0070C0"/>
                <w:lang w:eastAsia="x-none"/>
              </w:rPr>
            </w:pPr>
            <w:r>
              <w:rPr>
                <w:color w:val="0070C0"/>
                <w:lang w:eastAsia="x-none"/>
              </w:rPr>
              <w:t>Yes</w:t>
            </w:r>
          </w:p>
        </w:tc>
        <w:tc>
          <w:tcPr>
            <w:tcW w:w="3117" w:type="dxa"/>
          </w:tcPr>
          <w:p w14:paraId="426D88ED" w14:textId="3E97E28F" w:rsidR="00CB6945" w:rsidRPr="009A74F8" w:rsidRDefault="001C2D20" w:rsidP="006F7279">
            <w:pPr>
              <w:rPr>
                <w:color w:val="7030A0"/>
                <w:lang w:eastAsia="x-none"/>
              </w:rPr>
            </w:pPr>
            <w:r w:rsidRPr="009A74F8">
              <w:rPr>
                <w:color w:val="7030A0"/>
                <w:lang w:eastAsia="x-none"/>
              </w:rPr>
              <w:t>Yes</w:t>
            </w:r>
          </w:p>
        </w:tc>
      </w:tr>
      <w:tr w:rsidR="00CB6945" w14:paraId="2674D94E" w14:textId="77777777" w:rsidTr="006F7279">
        <w:tc>
          <w:tcPr>
            <w:tcW w:w="3116" w:type="dxa"/>
          </w:tcPr>
          <w:p w14:paraId="26B07D18" w14:textId="77777777" w:rsidR="00CB6945" w:rsidRDefault="00CB6945" w:rsidP="006F7279">
            <w:pPr>
              <w:rPr>
                <w:lang w:eastAsia="x-none"/>
              </w:rPr>
            </w:pPr>
            <w:r>
              <w:rPr>
                <w:lang w:eastAsia="x-none"/>
              </w:rPr>
              <w:t>QoE Reference</w:t>
            </w:r>
          </w:p>
        </w:tc>
        <w:tc>
          <w:tcPr>
            <w:tcW w:w="3117" w:type="dxa"/>
          </w:tcPr>
          <w:p w14:paraId="5BBBCF1E" w14:textId="77777777" w:rsidR="00CB6945" w:rsidRPr="001262FF" w:rsidRDefault="00CB6945" w:rsidP="006F7279">
            <w:pPr>
              <w:rPr>
                <w:color w:val="0070C0"/>
                <w:lang w:eastAsia="x-none"/>
              </w:rPr>
            </w:pPr>
            <w:r w:rsidRPr="001262FF">
              <w:rPr>
                <w:color w:val="0070C0"/>
                <w:lang w:eastAsia="x-none"/>
              </w:rPr>
              <w:t>Yes</w:t>
            </w:r>
          </w:p>
        </w:tc>
        <w:tc>
          <w:tcPr>
            <w:tcW w:w="3117" w:type="dxa"/>
          </w:tcPr>
          <w:p w14:paraId="4F05A417" w14:textId="61AE84B6" w:rsidR="00CB6945" w:rsidRPr="009A74F8" w:rsidRDefault="001C2D20" w:rsidP="006F7279">
            <w:pPr>
              <w:rPr>
                <w:color w:val="7030A0"/>
                <w:lang w:eastAsia="x-none"/>
              </w:rPr>
            </w:pPr>
            <w:r w:rsidRPr="009A74F8">
              <w:rPr>
                <w:color w:val="7030A0"/>
                <w:lang w:eastAsia="x-none"/>
              </w:rPr>
              <w:t>Yes</w:t>
            </w:r>
          </w:p>
        </w:tc>
      </w:tr>
      <w:tr w:rsidR="00CB6945" w14:paraId="7968EF83" w14:textId="77777777" w:rsidTr="006F7279">
        <w:tc>
          <w:tcPr>
            <w:tcW w:w="3116" w:type="dxa"/>
          </w:tcPr>
          <w:p w14:paraId="6BC13BBB" w14:textId="77777777" w:rsidR="00CB6945" w:rsidRDefault="00CB6945" w:rsidP="006F7279">
            <w:pPr>
              <w:rPr>
                <w:lang w:eastAsia="x-none"/>
              </w:rPr>
            </w:pPr>
            <w:r>
              <w:rPr>
                <w:lang w:eastAsia="x-none"/>
              </w:rPr>
              <w:t>MCE IP Address</w:t>
            </w:r>
          </w:p>
        </w:tc>
        <w:tc>
          <w:tcPr>
            <w:tcW w:w="3117" w:type="dxa"/>
          </w:tcPr>
          <w:p w14:paraId="6F1D7030" w14:textId="77777777" w:rsidR="00CB6945" w:rsidRPr="001262FF" w:rsidRDefault="00CB6945" w:rsidP="006F7279">
            <w:pPr>
              <w:rPr>
                <w:color w:val="0070C0"/>
                <w:lang w:eastAsia="x-none"/>
              </w:rPr>
            </w:pPr>
            <w:r w:rsidRPr="001262FF">
              <w:rPr>
                <w:color w:val="0070C0"/>
                <w:lang w:eastAsia="x-none"/>
              </w:rPr>
              <w:t>Yes</w:t>
            </w:r>
          </w:p>
        </w:tc>
        <w:tc>
          <w:tcPr>
            <w:tcW w:w="3117" w:type="dxa"/>
          </w:tcPr>
          <w:p w14:paraId="5765D9FF" w14:textId="77777777" w:rsidR="00CB6945" w:rsidRPr="001262FF" w:rsidRDefault="00CB6945" w:rsidP="006F7279">
            <w:pPr>
              <w:rPr>
                <w:color w:val="0070C0"/>
                <w:lang w:eastAsia="x-none"/>
              </w:rPr>
            </w:pPr>
            <w:r w:rsidRPr="001262FF">
              <w:rPr>
                <w:color w:val="0070C0"/>
                <w:lang w:eastAsia="x-none"/>
              </w:rPr>
              <w:t>Yes</w:t>
            </w:r>
          </w:p>
        </w:tc>
      </w:tr>
      <w:tr w:rsidR="00CB6945" w14:paraId="47BC78E5" w14:textId="77777777" w:rsidTr="006F7279">
        <w:tc>
          <w:tcPr>
            <w:tcW w:w="3116" w:type="dxa"/>
          </w:tcPr>
          <w:p w14:paraId="49B979AA" w14:textId="77777777" w:rsidR="00CB6945" w:rsidRDefault="00CB6945" w:rsidP="006F7279">
            <w:pPr>
              <w:rPr>
                <w:lang w:eastAsia="x-none"/>
              </w:rPr>
            </w:pPr>
            <w:r>
              <w:rPr>
                <w:lang w:eastAsia="x-none"/>
              </w:rPr>
              <w:t>S-NSSAI List</w:t>
            </w:r>
          </w:p>
        </w:tc>
        <w:tc>
          <w:tcPr>
            <w:tcW w:w="3117" w:type="dxa"/>
          </w:tcPr>
          <w:p w14:paraId="6B7D3902" w14:textId="77777777" w:rsidR="00CB6945" w:rsidRPr="001262FF" w:rsidRDefault="00CB6945" w:rsidP="006F7279">
            <w:pPr>
              <w:rPr>
                <w:color w:val="0070C0"/>
                <w:lang w:eastAsia="x-none"/>
              </w:rPr>
            </w:pPr>
            <w:r w:rsidRPr="001262FF">
              <w:rPr>
                <w:color w:val="0070C0"/>
                <w:lang w:eastAsia="x-none"/>
              </w:rPr>
              <w:t>Yes</w:t>
            </w:r>
          </w:p>
        </w:tc>
        <w:tc>
          <w:tcPr>
            <w:tcW w:w="3117" w:type="dxa"/>
          </w:tcPr>
          <w:p w14:paraId="3E010227" w14:textId="0327E996" w:rsidR="00CB6945" w:rsidRPr="001262FF" w:rsidRDefault="00255976" w:rsidP="006F7279">
            <w:pPr>
              <w:rPr>
                <w:color w:val="0070C0"/>
                <w:lang w:eastAsia="x-none"/>
              </w:rPr>
            </w:pPr>
            <w:r w:rsidRPr="00707D39">
              <w:rPr>
                <w:color w:val="FF0000"/>
                <w:lang w:eastAsia="x-none"/>
              </w:rPr>
              <w:t>No</w:t>
            </w:r>
          </w:p>
        </w:tc>
      </w:tr>
      <w:tr w:rsidR="00CB6945" w14:paraId="25EDFDCD" w14:textId="77777777" w:rsidTr="006F7279">
        <w:tc>
          <w:tcPr>
            <w:tcW w:w="3116" w:type="dxa"/>
          </w:tcPr>
          <w:p w14:paraId="2476C428" w14:textId="77777777" w:rsidR="00CB6945" w:rsidRDefault="00CB6945" w:rsidP="006F7279">
            <w:pPr>
              <w:rPr>
                <w:lang w:eastAsia="x-none"/>
              </w:rPr>
            </w:pPr>
            <w:r>
              <w:rPr>
                <w:lang w:eastAsia="x-none"/>
              </w:rPr>
              <w:t>MDT Alignment Information</w:t>
            </w:r>
          </w:p>
        </w:tc>
        <w:tc>
          <w:tcPr>
            <w:tcW w:w="3117" w:type="dxa"/>
          </w:tcPr>
          <w:p w14:paraId="7B4FF9A3" w14:textId="77777777" w:rsidR="00CB6945" w:rsidRPr="001262FF" w:rsidRDefault="00CB6945" w:rsidP="006F7279">
            <w:pPr>
              <w:rPr>
                <w:color w:val="0070C0"/>
                <w:lang w:eastAsia="x-none"/>
              </w:rPr>
            </w:pPr>
            <w:r w:rsidRPr="001262FF">
              <w:rPr>
                <w:color w:val="0070C0"/>
                <w:lang w:eastAsia="x-none"/>
              </w:rPr>
              <w:t>Yes</w:t>
            </w:r>
          </w:p>
        </w:tc>
        <w:tc>
          <w:tcPr>
            <w:tcW w:w="3117" w:type="dxa"/>
          </w:tcPr>
          <w:p w14:paraId="4628CA84" w14:textId="77777777" w:rsidR="00CB6945" w:rsidRPr="001262FF" w:rsidRDefault="00CB6945" w:rsidP="006F7279">
            <w:pPr>
              <w:rPr>
                <w:color w:val="0070C0"/>
                <w:lang w:eastAsia="x-none"/>
              </w:rPr>
            </w:pPr>
            <w:r w:rsidRPr="001262FF">
              <w:rPr>
                <w:color w:val="0070C0"/>
                <w:lang w:eastAsia="x-none"/>
              </w:rPr>
              <w:t>Yes</w:t>
            </w:r>
          </w:p>
        </w:tc>
      </w:tr>
      <w:tr w:rsidR="00CB6945" w14:paraId="2FC8C6E9" w14:textId="77777777" w:rsidTr="006F7279">
        <w:tc>
          <w:tcPr>
            <w:tcW w:w="3116" w:type="dxa"/>
          </w:tcPr>
          <w:p w14:paraId="362E5EC4" w14:textId="77777777" w:rsidR="00CB6945" w:rsidRDefault="00CB6945" w:rsidP="006F7279">
            <w:pPr>
              <w:rPr>
                <w:lang w:eastAsia="x-none"/>
              </w:rPr>
            </w:pPr>
            <w:r>
              <w:rPr>
                <w:lang w:eastAsia="x-none"/>
              </w:rPr>
              <w:t>RVQoE Metric Indication</w:t>
            </w:r>
          </w:p>
        </w:tc>
        <w:tc>
          <w:tcPr>
            <w:tcW w:w="3117" w:type="dxa"/>
          </w:tcPr>
          <w:p w14:paraId="2BF64F02" w14:textId="7C7AEEBB" w:rsidR="00CB6945" w:rsidRPr="00A35094" w:rsidRDefault="00A35094" w:rsidP="006F7279">
            <w:pPr>
              <w:rPr>
                <w:color w:val="00B050"/>
                <w:lang w:eastAsia="x-none"/>
              </w:rPr>
            </w:pPr>
            <w:r w:rsidRPr="00707D39">
              <w:rPr>
                <w:color w:val="0070C0"/>
                <w:lang w:eastAsia="x-none"/>
              </w:rPr>
              <w:t>Yes</w:t>
            </w:r>
          </w:p>
        </w:tc>
        <w:tc>
          <w:tcPr>
            <w:tcW w:w="3117" w:type="dxa"/>
          </w:tcPr>
          <w:p w14:paraId="2341D659" w14:textId="1E0CF400" w:rsidR="00CB6945" w:rsidRPr="00A35094" w:rsidRDefault="00A35094" w:rsidP="006F7279">
            <w:pPr>
              <w:rPr>
                <w:color w:val="00B050"/>
                <w:lang w:eastAsia="x-none"/>
              </w:rPr>
            </w:pPr>
            <w:r w:rsidRPr="00707D39">
              <w:rPr>
                <w:color w:val="FF0000"/>
                <w:lang w:eastAsia="x-none"/>
              </w:rPr>
              <w:t>No</w:t>
            </w:r>
          </w:p>
        </w:tc>
      </w:tr>
      <w:tr w:rsidR="00CB6945" w14:paraId="65799F44" w14:textId="77777777" w:rsidTr="006F7279">
        <w:tc>
          <w:tcPr>
            <w:tcW w:w="3116" w:type="dxa"/>
          </w:tcPr>
          <w:p w14:paraId="4483A36C" w14:textId="77777777" w:rsidR="00CB6945" w:rsidRDefault="00CB6945" w:rsidP="006F7279">
            <w:pPr>
              <w:rPr>
                <w:lang w:eastAsia="x-none"/>
              </w:rPr>
            </w:pPr>
            <w:r>
              <w:rPr>
                <w:lang w:eastAsia="x-none"/>
              </w:rPr>
              <w:t>QoE Measurement Status</w:t>
            </w:r>
          </w:p>
        </w:tc>
        <w:tc>
          <w:tcPr>
            <w:tcW w:w="3117" w:type="dxa"/>
          </w:tcPr>
          <w:p w14:paraId="09214AB8" w14:textId="77777777" w:rsidR="00CB6945" w:rsidRPr="001262FF" w:rsidRDefault="00CB6945" w:rsidP="006F7279">
            <w:pPr>
              <w:rPr>
                <w:color w:val="0070C0"/>
                <w:lang w:eastAsia="x-none"/>
              </w:rPr>
            </w:pPr>
            <w:r w:rsidRPr="001262FF">
              <w:rPr>
                <w:color w:val="0070C0"/>
                <w:lang w:eastAsia="x-none"/>
              </w:rPr>
              <w:t>WA</w:t>
            </w:r>
          </w:p>
        </w:tc>
        <w:tc>
          <w:tcPr>
            <w:tcW w:w="3117" w:type="dxa"/>
          </w:tcPr>
          <w:p w14:paraId="5D3C1835" w14:textId="77777777" w:rsidR="00CB6945" w:rsidRPr="001262FF" w:rsidRDefault="00CB6945" w:rsidP="006F7279">
            <w:pPr>
              <w:rPr>
                <w:color w:val="0070C0"/>
                <w:lang w:eastAsia="x-none"/>
              </w:rPr>
            </w:pPr>
            <w:r w:rsidRPr="001262FF">
              <w:rPr>
                <w:color w:val="0070C0"/>
                <w:lang w:eastAsia="x-none"/>
              </w:rPr>
              <w:t>WA</w:t>
            </w:r>
          </w:p>
        </w:tc>
      </w:tr>
      <w:tr w:rsidR="00907BDC" w14:paraId="3146F936" w14:textId="77777777" w:rsidTr="006F7279">
        <w:tc>
          <w:tcPr>
            <w:tcW w:w="3116" w:type="dxa"/>
          </w:tcPr>
          <w:p w14:paraId="432403C1" w14:textId="4CBD92FC" w:rsidR="00907BDC" w:rsidRDefault="00907BDC" w:rsidP="006F7279">
            <w:pPr>
              <w:rPr>
                <w:lang w:eastAsia="x-none"/>
              </w:rPr>
            </w:pPr>
            <w:r>
              <w:rPr>
                <w:lang w:eastAsia="x-none"/>
              </w:rPr>
              <w:t>QoE Measurement Type</w:t>
            </w:r>
          </w:p>
        </w:tc>
        <w:tc>
          <w:tcPr>
            <w:tcW w:w="3117" w:type="dxa"/>
          </w:tcPr>
          <w:p w14:paraId="57B0EA23" w14:textId="743A6651" w:rsidR="00907BDC" w:rsidRPr="00700E32" w:rsidRDefault="00700E32" w:rsidP="006F7279">
            <w:pPr>
              <w:rPr>
                <w:color w:val="FF0000"/>
                <w:lang w:eastAsia="x-none"/>
              </w:rPr>
            </w:pPr>
            <w:r w:rsidRPr="00700E32">
              <w:rPr>
                <w:color w:val="FF0000"/>
                <w:lang w:eastAsia="x-none"/>
              </w:rPr>
              <w:t>No</w:t>
            </w:r>
          </w:p>
        </w:tc>
        <w:tc>
          <w:tcPr>
            <w:tcW w:w="3117" w:type="dxa"/>
          </w:tcPr>
          <w:p w14:paraId="3913378D" w14:textId="257E97CF" w:rsidR="00907BDC" w:rsidRPr="00700E32" w:rsidRDefault="00700E32" w:rsidP="006F7279">
            <w:pPr>
              <w:rPr>
                <w:color w:val="FF0000"/>
                <w:lang w:eastAsia="x-none"/>
              </w:rPr>
            </w:pPr>
            <w:r w:rsidRPr="00700E32">
              <w:rPr>
                <w:color w:val="FF0000"/>
                <w:lang w:eastAsia="x-none"/>
              </w:rPr>
              <w:t>No</w:t>
            </w:r>
          </w:p>
        </w:tc>
      </w:tr>
    </w:tbl>
    <w:p w14:paraId="6C344847" w14:textId="56E66AF4" w:rsidR="00987461" w:rsidRDefault="00987461" w:rsidP="00987461">
      <w:pPr>
        <w:rPr>
          <w:b/>
          <w:bCs/>
          <w:lang w:eastAsia="x-none"/>
        </w:rPr>
      </w:pPr>
    </w:p>
    <w:p w14:paraId="3FC8F30B" w14:textId="77777777" w:rsidR="000635B3" w:rsidRPr="000C7D7C" w:rsidRDefault="000635B3" w:rsidP="000635B3">
      <w:pPr>
        <w:rPr>
          <w:lang w:eastAsia="x-none"/>
        </w:rPr>
      </w:pPr>
      <w:r w:rsidRPr="000C7D7C">
        <w:rPr>
          <w:lang w:eastAsia="x-none"/>
        </w:rPr>
        <w:t xml:space="preserve">For s-based QoE, the container should be propagated during handover, just the same as LTE QMC. And this is used for the case when the QoE configuration is transferred from </w:t>
      </w:r>
      <w:r>
        <w:rPr>
          <w:lang w:eastAsia="x-none"/>
        </w:rPr>
        <w:t>AMF</w:t>
      </w:r>
      <w:r w:rsidRPr="000C7D7C">
        <w:rPr>
          <w:lang w:eastAsia="x-none"/>
        </w:rPr>
        <w:t xml:space="preserve"> but e.g.  the serving cell is not in the area scope, the serving gNB will not send the QoE configuration to UE, if the UE moves to a new gNB, the whole configuration including the container should be propagated to the target gNB, if the target cell is in the area scope, the gNB can transfer the QoE configuration to UE.</w:t>
      </w:r>
    </w:p>
    <w:p w14:paraId="1B20D094" w14:textId="7C33C25F" w:rsidR="000635B3" w:rsidRPr="00497F25" w:rsidRDefault="000635B3" w:rsidP="000635B3">
      <w:pPr>
        <w:rPr>
          <w:lang w:eastAsia="x-none"/>
        </w:rPr>
      </w:pPr>
      <w:r>
        <w:rPr>
          <w:b/>
          <w:bCs/>
          <w:lang w:eastAsia="x-none"/>
        </w:rPr>
        <w:t>Observation</w:t>
      </w:r>
      <w:r w:rsidR="0010107B">
        <w:rPr>
          <w:b/>
          <w:bCs/>
          <w:lang w:eastAsia="x-none"/>
        </w:rPr>
        <w:t xml:space="preserve"> 1</w:t>
      </w:r>
      <w:r>
        <w:rPr>
          <w:b/>
          <w:bCs/>
          <w:lang w:eastAsia="x-none"/>
        </w:rPr>
        <w:t xml:space="preserve">: </w:t>
      </w:r>
      <w:r w:rsidR="00C22CFF">
        <w:rPr>
          <w:lang w:eastAsia="x-none"/>
        </w:rPr>
        <w:t>Propagating</w:t>
      </w:r>
      <w:r w:rsidRPr="00DC0C7D">
        <w:rPr>
          <w:lang w:eastAsia="x-none"/>
        </w:rPr>
        <w:t xml:space="preserve"> the</w:t>
      </w:r>
      <w:r>
        <w:rPr>
          <w:b/>
          <w:bCs/>
          <w:lang w:eastAsia="x-none"/>
        </w:rPr>
        <w:t xml:space="preserve"> </w:t>
      </w:r>
      <w:r>
        <w:rPr>
          <w:lang w:eastAsia="x-none"/>
        </w:rPr>
        <w:t xml:space="preserve">QoE configuration container (i.e., the XML file) is </w:t>
      </w:r>
      <w:r>
        <w:rPr>
          <w:lang w:eastAsia="x-none"/>
        </w:rPr>
        <w:t>useful</w:t>
      </w:r>
      <w:r>
        <w:rPr>
          <w:lang w:eastAsia="x-none"/>
        </w:rPr>
        <w:t xml:space="preserve"> in case</w:t>
      </w:r>
      <w:r>
        <w:rPr>
          <w:lang w:eastAsia="x-none"/>
        </w:rPr>
        <w:t xml:space="preserve"> the s-based QoE configuration </w:t>
      </w:r>
      <w:r w:rsidR="002D2704">
        <w:rPr>
          <w:lang w:eastAsia="x-none"/>
        </w:rPr>
        <w:t>from the AMF could not be configured in the source node (e.g., if it is outside area scope)</w:t>
      </w:r>
      <w:r>
        <w:rPr>
          <w:lang w:eastAsia="x-none"/>
        </w:rPr>
        <w:t xml:space="preserve"> </w:t>
      </w:r>
      <w:r w:rsidR="002D2704">
        <w:rPr>
          <w:lang w:eastAsia="x-none"/>
        </w:rPr>
        <w:t xml:space="preserve">and </w:t>
      </w:r>
      <w:r w:rsidR="00C22CFF">
        <w:rPr>
          <w:lang w:eastAsia="x-none"/>
        </w:rPr>
        <w:t>could be configured directly by the target node (if within the area scope) without a new QoE configuration.</w:t>
      </w:r>
    </w:p>
    <w:p w14:paraId="7ABF16E9" w14:textId="41FD526F" w:rsidR="00987461" w:rsidRDefault="00987461" w:rsidP="00987461">
      <w:pPr>
        <w:rPr>
          <w:lang w:eastAsia="x-none"/>
        </w:rPr>
      </w:pPr>
      <w:r w:rsidRPr="0090497F">
        <w:rPr>
          <w:b/>
          <w:bCs/>
          <w:lang w:eastAsia="x-none"/>
        </w:rPr>
        <w:t>Proposal</w:t>
      </w:r>
      <w:r w:rsidR="0001162A">
        <w:rPr>
          <w:b/>
          <w:bCs/>
          <w:lang w:eastAsia="x-none"/>
        </w:rPr>
        <w:t xml:space="preserve"> 2</w:t>
      </w:r>
      <w:r w:rsidRPr="0090497F">
        <w:rPr>
          <w:lang w:eastAsia="x-none"/>
        </w:rPr>
        <w:t xml:space="preserve">: For s-based QoE, the QoE configuration container (i.e. the XML file) is explicitly forwarded from source node to target node </w:t>
      </w:r>
    </w:p>
    <w:p w14:paraId="3BD661C8" w14:textId="16355921" w:rsidR="00F41D40" w:rsidRDefault="00F41D40" w:rsidP="00987461">
      <w:pPr>
        <w:rPr>
          <w:lang w:eastAsia="x-none"/>
        </w:rPr>
      </w:pPr>
      <w:r w:rsidRPr="00F54F32">
        <w:rPr>
          <w:b/>
          <w:bCs/>
          <w:lang w:eastAsia="x-none"/>
        </w:rPr>
        <w:t>Proposal</w:t>
      </w:r>
      <w:r w:rsidR="0001162A">
        <w:rPr>
          <w:b/>
          <w:bCs/>
          <w:lang w:eastAsia="x-none"/>
        </w:rPr>
        <w:t xml:space="preserve"> 3</w:t>
      </w:r>
      <w:r>
        <w:rPr>
          <w:lang w:eastAsia="x-none"/>
        </w:rPr>
        <w:t>: For s-based QoE, the list of available RVQoE metrics is explicitly forwarded from source node to target node</w:t>
      </w:r>
      <w:r w:rsidR="0060232A">
        <w:rPr>
          <w:lang w:eastAsia="x-none"/>
        </w:rPr>
        <w:t xml:space="preserve"> during mobility and UE context retrieval</w:t>
      </w:r>
    </w:p>
    <w:p w14:paraId="4E68AAA6" w14:textId="59D0B6D1" w:rsidR="00F41D40" w:rsidRDefault="00F41D40" w:rsidP="00987461">
      <w:pPr>
        <w:rPr>
          <w:lang w:eastAsia="x-none"/>
        </w:rPr>
      </w:pPr>
      <w:r w:rsidRPr="00F54F32">
        <w:rPr>
          <w:b/>
          <w:bCs/>
          <w:lang w:eastAsia="x-none"/>
        </w:rPr>
        <w:t>Proposal</w:t>
      </w:r>
      <w:r w:rsidR="0001162A">
        <w:rPr>
          <w:b/>
          <w:bCs/>
          <w:lang w:eastAsia="x-none"/>
        </w:rPr>
        <w:t xml:space="preserve"> 4</w:t>
      </w:r>
      <w:r>
        <w:rPr>
          <w:lang w:eastAsia="x-none"/>
        </w:rPr>
        <w:t xml:space="preserve">: </w:t>
      </w:r>
      <w:r w:rsidR="00F54F32">
        <w:rPr>
          <w:lang w:eastAsia="x-none"/>
        </w:rPr>
        <w:t>For m-based QoE, the list of available RVQoE metrics need not be forwarded from source node to target node</w:t>
      </w:r>
      <w:r w:rsidR="0060232A">
        <w:rPr>
          <w:lang w:eastAsia="x-none"/>
        </w:rPr>
        <w:t xml:space="preserve"> during mobility and UE context retrieval</w:t>
      </w:r>
      <w:r w:rsidR="00F54F32">
        <w:rPr>
          <w:lang w:eastAsia="x-none"/>
        </w:rPr>
        <w:t>. The OAM can indicate the list of available RVQoE metrics directly to the target node.</w:t>
      </w:r>
    </w:p>
    <w:p w14:paraId="42D6F609" w14:textId="7C3FEA53" w:rsidR="00816B54" w:rsidRDefault="00E32AB3" w:rsidP="00816B54">
      <w:pPr>
        <w:rPr>
          <w:lang w:eastAsia="x-none"/>
        </w:rPr>
      </w:pPr>
      <w:r w:rsidRPr="00E32AB3">
        <w:rPr>
          <w:lang w:eastAsia="x-none"/>
        </w:rPr>
        <w:t xml:space="preserve">An IE </w:t>
      </w:r>
      <w:r w:rsidR="00816B54" w:rsidRPr="00E32AB3">
        <w:rPr>
          <w:lang w:eastAsia="x-none"/>
        </w:rPr>
        <w:t>QoE Measurement Type (i.e., s-based, m-based)</w:t>
      </w:r>
      <w:r w:rsidRPr="00E32AB3">
        <w:rPr>
          <w:lang w:eastAsia="x-none"/>
        </w:rPr>
        <w:t xml:space="preserve"> was proposed to be propagated during handover so that t</w:t>
      </w:r>
      <w:r w:rsidR="00816B54" w:rsidRPr="00E32AB3">
        <w:rPr>
          <w:lang w:eastAsia="x-none"/>
        </w:rPr>
        <w:t>he target node know</w:t>
      </w:r>
      <w:r w:rsidR="004550FF">
        <w:rPr>
          <w:lang w:eastAsia="x-none"/>
        </w:rPr>
        <w:t xml:space="preserve">s the QoE type and can avoid </w:t>
      </w:r>
      <w:r w:rsidR="00816B54" w:rsidRPr="00E32AB3">
        <w:rPr>
          <w:lang w:eastAsia="x-none"/>
        </w:rPr>
        <w:t>configuration “overwriting”.</w:t>
      </w:r>
      <w:r w:rsidR="004550FF">
        <w:rPr>
          <w:lang w:eastAsia="x-none"/>
        </w:rPr>
        <w:t xml:space="preserve"> </w:t>
      </w:r>
      <w:r w:rsidR="00700E32">
        <w:rPr>
          <w:lang w:eastAsia="x-none"/>
        </w:rPr>
        <w:t xml:space="preserve">However, it was agreed last meeting that </w:t>
      </w:r>
      <w:r w:rsidR="00816B54" w:rsidRPr="006E657E">
        <w:rPr>
          <w:lang w:eastAsia="x-none"/>
        </w:rPr>
        <w:t>OAM provides a unique QoE Reference for each QoE configuration irrespective of QoE</w:t>
      </w:r>
      <w:r w:rsidR="00700E32">
        <w:rPr>
          <w:lang w:eastAsia="x-none"/>
        </w:rPr>
        <w:t xml:space="preserve">. Hence </w:t>
      </w:r>
      <w:r w:rsidR="00816B54" w:rsidRPr="006E657E">
        <w:rPr>
          <w:lang w:eastAsia="x-none"/>
        </w:rPr>
        <w:t>this override scenario might not happen and this IE won’t be needed.</w:t>
      </w:r>
    </w:p>
    <w:p w14:paraId="3FAB4B99" w14:textId="7F064034" w:rsidR="00700E32" w:rsidRDefault="00700E32" w:rsidP="00816B54">
      <w:pPr>
        <w:rPr>
          <w:lang w:eastAsia="x-none"/>
        </w:rPr>
      </w:pPr>
      <w:r w:rsidRPr="00F54F32">
        <w:rPr>
          <w:b/>
          <w:bCs/>
          <w:lang w:eastAsia="x-none"/>
        </w:rPr>
        <w:t>Proposal</w:t>
      </w:r>
      <w:r>
        <w:rPr>
          <w:b/>
          <w:bCs/>
          <w:lang w:eastAsia="x-none"/>
        </w:rPr>
        <w:t xml:space="preserve"> 5</w:t>
      </w:r>
      <w:r>
        <w:rPr>
          <w:lang w:eastAsia="x-none"/>
        </w:rPr>
        <w:t xml:space="preserve">: An </w:t>
      </w:r>
      <w:r w:rsidR="000562D1">
        <w:rPr>
          <w:lang w:eastAsia="x-none"/>
        </w:rPr>
        <w:t xml:space="preserve">explicit </w:t>
      </w:r>
      <w:r>
        <w:rPr>
          <w:lang w:eastAsia="x-none"/>
        </w:rPr>
        <w:t xml:space="preserve">IE indicating the QoE measurement type </w:t>
      </w:r>
      <w:r w:rsidR="000562D1">
        <w:rPr>
          <w:lang w:eastAsia="x-none"/>
        </w:rPr>
        <w:t xml:space="preserve">(s-based or m-based) </w:t>
      </w:r>
      <w:r w:rsidR="0004493E">
        <w:rPr>
          <w:lang w:eastAsia="x-none"/>
        </w:rPr>
        <w:t xml:space="preserve">need not be propagated to target node </w:t>
      </w:r>
      <w:r w:rsidR="0030112C">
        <w:rPr>
          <w:lang w:eastAsia="x-none"/>
        </w:rPr>
        <w:t>during handover or UE context retrieval. Target node can identify the QoE measurement type implicitly by the absence/presence of certain IEs.</w:t>
      </w:r>
    </w:p>
    <w:p w14:paraId="2DDA034D" w14:textId="77777777" w:rsidR="000E0F68" w:rsidRDefault="000E0F68" w:rsidP="00816B54">
      <w:pPr>
        <w:rPr>
          <w:lang w:eastAsia="x-none"/>
        </w:rPr>
      </w:pPr>
    </w:p>
    <w:p w14:paraId="306F4569" w14:textId="34496FC9" w:rsidR="00185DC9" w:rsidRDefault="00185DC9" w:rsidP="00CC5A7A">
      <w:pPr>
        <w:pStyle w:val="Heading1"/>
        <w:numPr>
          <w:ilvl w:val="0"/>
          <w:numId w:val="2"/>
        </w:numPr>
      </w:pPr>
      <w:r>
        <w:t>Conclusion</w:t>
      </w:r>
    </w:p>
    <w:p w14:paraId="18501772" w14:textId="240C7EBB" w:rsidR="000E0F68" w:rsidRDefault="000E0F68" w:rsidP="000E0F68">
      <w:pPr>
        <w:rPr>
          <w:lang w:eastAsia="x-none"/>
        </w:rPr>
      </w:pPr>
      <w:r>
        <w:rPr>
          <w:b/>
          <w:bCs/>
          <w:lang w:eastAsia="x-none"/>
        </w:rPr>
        <w:t>Proposal 1</w:t>
      </w:r>
      <w:r>
        <w:rPr>
          <w:lang w:eastAsia="x-none"/>
        </w:rPr>
        <w:t>: NG-</w:t>
      </w:r>
      <w:r w:rsidRPr="00F87CF3">
        <w:rPr>
          <w:lang w:eastAsia="x-none"/>
        </w:rPr>
        <w:t xml:space="preserve">RAN nodes are responsible for passing the </w:t>
      </w:r>
      <w:r>
        <w:rPr>
          <w:lang w:eastAsia="x-none"/>
        </w:rPr>
        <w:t xml:space="preserve">alignment information </w:t>
      </w:r>
      <w:r w:rsidRPr="00F87CF3">
        <w:rPr>
          <w:lang w:eastAsia="x-none"/>
        </w:rPr>
        <w:t>between QoE and MDT during mobility</w:t>
      </w:r>
      <w:r>
        <w:rPr>
          <w:lang w:eastAsia="x-none"/>
        </w:rPr>
        <w:t xml:space="preserve"> i.e., a source NG-RAN should inform the MDT alignment information to its target node during handover and UE context retrieval</w:t>
      </w:r>
    </w:p>
    <w:p w14:paraId="0F439906" w14:textId="77777777" w:rsidR="009F7EA6" w:rsidRPr="00497F25" w:rsidRDefault="009F7EA6" w:rsidP="009F7EA6">
      <w:pPr>
        <w:rPr>
          <w:lang w:eastAsia="x-none"/>
        </w:rPr>
      </w:pPr>
      <w:r>
        <w:rPr>
          <w:b/>
          <w:bCs/>
          <w:lang w:eastAsia="x-none"/>
        </w:rPr>
        <w:t xml:space="preserve">Observation 1: </w:t>
      </w:r>
      <w:r>
        <w:rPr>
          <w:lang w:eastAsia="x-none"/>
        </w:rPr>
        <w:t>Propagating</w:t>
      </w:r>
      <w:r w:rsidRPr="00DC0C7D">
        <w:rPr>
          <w:lang w:eastAsia="x-none"/>
        </w:rPr>
        <w:t xml:space="preserve"> the</w:t>
      </w:r>
      <w:r>
        <w:rPr>
          <w:b/>
          <w:bCs/>
          <w:lang w:eastAsia="x-none"/>
        </w:rPr>
        <w:t xml:space="preserve"> </w:t>
      </w:r>
      <w:r>
        <w:rPr>
          <w:lang w:eastAsia="x-none"/>
        </w:rPr>
        <w:t>QoE configuration container (i.e., the XML file) is useful in case the s-based QoE configuration from the AMF could not be configured in the source node (e.g., if it is outside area scope) and could be configured directly by the target node (if within the area scope) without a new QoE configuration.</w:t>
      </w:r>
    </w:p>
    <w:p w14:paraId="53A03B6B" w14:textId="77777777" w:rsidR="000E0F68" w:rsidRDefault="000E0F68" w:rsidP="000E0F68">
      <w:pPr>
        <w:rPr>
          <w:lang w:eastAsia="x-none"/>
        </w:rPr>
      </w:pPr>
      <w:r w:rsidRPr="0090497F">
        <w:rPr>
          <w:b/>
          <w:bCs/>
          <w:lang w:eastAsia="x-none"/>
        </w:rPr>
        <w:t>Proposal</w:t>
      </w:r>
      <w:r>
        <w:rPr>
          <w:b/>
          <w:bCs/>
          <w:lang w:eastAsia="x-none"/>
        </w:rPr>
        <w:t xml:space="preserve"> 2</w:t>
      </w:r>
      <w:r w:rsidRPr="0090497F">
        <w:rPr>
          <w:lang w:eastAsia="x-none"/>
        </w:rPr>
        <w:t xml:space="preserve">: For s-based QoE, the QoE configuration container (i.e. the XML file) is explicitly forwarded from source node to target node </w:t>
      </w:r>
    </w:p>
    <w:p w14:paraId="45144AE4" w14:textId="77777777" w:rsidR="000E0F68" w:rsidRDefault="000E0F68" w:rsidP="000E0F68">
      <w:pPr>
        <w:rPr>
          <w:lang w:eastAsia="x-none"/>
        </w:rPr>
      </w:pPr>
      <w:r w:rsidRPr="00F54F32">
        <w:rPr>
          <w:b/>
          <w:bCs/>
          <w:lang w:eastAsia="x-none"/>
        </w:rPr>
        <w:t>Proposal</w:t>
      </w:r>
      <w:r>
        <w:rPr>
          <w:b/>
          <w:bCs/>
          <w:lang w:eastAsia="x-none"/>
        </w:rPr>
        <w:t xml:space="preserve"> 3</w:t>
      </w:r>
      <w:r>
        <w:rPr>
          <w:lang w:eastAsia="x-none"/>
        </w:rPr>
        <w:t>: For s-based QoE, the list of available RVQoE metrics is explicitly forwarded from source node to target node during mobility and UE context retrieval</w:t>
      </w:r>
    </w:p>
    <w:p w14:paraId="3689F08F" w14:textId="77777777" w:rsidR="000E0F68" w:rsidRDefault="000E0F68" w:rsidP="000E0F68">
      <w:pPr>
        <w:rPr>
          <w:lang w:eastAsia="x-none"/>
        </w:rPr>
      </w:pPr>
      <w:r w:rsidRPr="00F54F32">
        <w:rPr>
          <w:b/>
          <w:bCs/>
          <w:lang w:eastAsia="x-none"/>
        </w:rPr>
        <w:t>Proposal</w:t>
      </w:r>
      <w:r>
        <w:rPr>
          <w:b/>
          <w:bCs/>
          <w:lang w:eastAsia="x-none"/>
        </w:rPr>
        <w:t xml:space="preserve"> 4</w:t>
      </w:r>
      <w:r>
        <w:rPr>
          <w:lang w:eastAsia="x-none"/>
        </w:rPr>
        <w:t>: For m-based QoE, the list of available RVQoE metrics need not be forwarded from source node to target node during mobility and UE context retrieval. The OAM can indicate the list of available RVQoE metrics directly to the target node.</w:t>
      </w:r>
    </w:p>
    <w:p w14:paraId="1C427335" w14:textId="31230F55" w:rsidR="000E0F68" w:rsidRPr="00683A15" w:rsidRDefault="000E0F68" w:rsidP="00683A15">
      <w:r w:rsidRPr="00F54F32">
        <w:rPr>
          <w:b/>
          <w:bCs/>
          <w:lang w:eastAsia="x-none"/>
        </w:rPr>
        <w:t>Proposal</w:t>
      </w:r>
      <w:r>
        <w:rPr>
          <w:b/>
          <w:bCs/>
          <w:lang w:eastAsia="x-none"/>
        </w:rPr>
        <w:t xml:space="preserve"> 5</w:t>
      </w:r>
      <w:r>
        <w:rPr>
          <w:lang w:eastAsia="x-none"/>
        </w:rPr>
        <w:t>: An explicit IE indicating the QoE measurement type (s-based or m-based) need not be propagated to target node during handover or UE context retrieval. Target node can identify the QoE measurement type implicitly by the absence/presence of certain IEs.</w:t>
      </w:r>
    </w:p>
    <w:p w14:paraId="37C69B42" w14:textId="77777777" w:rsidR="00185DC9" w:rsidRDefault="00185DC9" w:rsidP="00185DC9">
      <w:pPr>
        <w:pStyle w:val="Heading1"/>
        <w:pBdr>
          <w:top w:val="single" w:sz="12" w:space="2" w:color="auto"/>
        </w:pBdr>
        <w:ind w:left="0" w:firstLine="0"/>
      </w:pPr>
      <w:r>
        <w:t>4. References</w:t>
      </w:r>
    </w:p>
    <w:p w14:paraId="620DF8CE" w14:textId="77777777" w:rsidR="00185DC9" w:rsidRDefault="00185DC9" w:rsidP="00185DC9">
      <w:pPr>
        <w:spacing w:after="0"/>
        <w:rPr>
          <w:rFonts w:ascii="Calibri" w:eastAsia="Times New Roman" w:hAnsi="Calibri" w:cs="Calibri"/>
          <w:sz w:val="22"/>
          <w:szCs w:val="22"/>
          <w:lang w:val="en-US"/>
        </w:rPr>
      </w:pPr>
    </w:p>
    <w:p w14:paraId="4D0EE6DA" w14:textId="77777777" w:rsidR="000E57E3" w:rsidRPr="00185DC9" w:rsidRDefault="000E57E3">
      <w:pPr>
        <w:rPr>
          <w:color w:val="FF0000"/>
        </w:rPr>
      </w:pPr>
    </w:p>
    <w:sectPr w:rsidR="000E57E3" w:rsidRPr="00185D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E3979" w14:textId="77777777" w:rsidR="00B862BE" w:rsidRDefault="00B862BE" w:rsidP="006F5F92">
      <w:pPr>
        <w:spacing w:after="0"/>
      </w:pPr>
      <w:r>
        <w:separator/>
      </w:r>
    </w:p>
  </w:endnote>
  <w:endnote w:type="continuationSeparator" w:id="0">
    <w:p w14:paraId="79257E41" w14:textId="77777777" w:rsidR="00B862BE" w:rsidRDefault="00B862BE" w:rsidP="006F5F92">
      <w:pPr>
        <w:spacing w:after="0"/>
      </w:pPr>
      <w:r>
        <w:continuationSeparator/>
      </w:r>
    </w:p>
  </w:endnote>
  <w:endnote w:type="continuationNotice" w:id="1">
    <w:p w14:paraId="1F29AF2A" w14:textId="77777777" w:rsidR="00B862BE" w:rsidRDefault="00B86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7B29D" w14:textId="77777777" w:rsidR="00B862BE" w:rsidRDefault="00B862BE" w:rsidP="006F5F92">
      <w:pPr>
        <w:spacing w:after="0"/>
      </w:pPr>
      <w:r>
        <w:separator/>
      </w:r>
    </w:p>
  </w:footnote>
  <w:footnote w:type="continuationSeparator" w:id="0">
    <w:p w14:paraId="06854265" w14:textId="77777777" w:rsidR="00B862BE" w:rsidRDefault="00B862BE" w:rsidP="006F5F92">
      <w:pPr>
        <w:spacing w:after="0"/>
      </w:pPr>
      <w:r>
        <w:continuationSeparator/>
      </w:r>
    </w:p>
  </w:footnote>
  <w:footnote w:type="continuationNotice" w:id="1">
    <w:p w14:paraId="52D0847E" w14:textId="77777777" w:rsidR="00B862BE" w:rsidRDefault="00B862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F6261"/>
    <w:multiLevelType w:val="hybridMultilevel"/>
    <w:tmpl w:val="C4BE5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3AAE601C"/>
    <w:multiLevelType w:val="hybridMultilevel"/>
    <w:tmpl w:val="D5B4E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6107"/>
    <w:rsid w:val="00007754"/>
    <w:rsid w:val="0001162A"/>
    <w:rsid w:val="000128E1"/>
    <w:rsid w:val="00013035"/>
    <w:rsid w:val="00016213"/>
    <w:rsid w:val="00016A85"/>
    <w:rsid w:val="0002247C"/>
    <w:rsid w:val="00023A4D"/>
    <w:rsid w:val="00026785"/>
    <w:rsid w:val="00034905"/>
    <w:rsid w:val="0003513D"/>
    <w:rsid w:val="0003594C"/>
    <w:rsid w:val="00040F58"/>
    <w:rsid w:val="0004155C"/>
    <w:rsid w:val="000418D0"/>
    <w:rsid w:val="000432BB"/>
    <w:rsid w:val="0004493E"/>
    <w:rsid w:val="00047D10"/>
    <w:rsid w:val="00052325"/>
    <w:rsid w:val="000562D1"/>
    <w:rsid w:val="00056C6A"/>
    <w:rsid w:val="000576E8"/>
    <w:rsid w:val="00061B54"/>
    <w:rsid w:val="00062827"/>
    <w:rsid w:val="000635B3"/>
    <w:rsid w:val="000817E7"/>
    <w:rsid w:val="00090788"/>
    <w:rsid w:val="00091199"/>
    <w:rsid w:val="0009270B"/>
    <w:rsid w:val="000927F0"/>
    <w:rsid w:val="00093561"/>
    <w:rsid w:val="00095A14"/>
    <w:rsid w:val="000962E4"/>
    <w:rsid w:val="00097203"/>
    <w:rsid w:val="000A48CD"/>
    <w:rsid w:val="000A6FE8"/>
    <w:rsid w:val="000B19D7"/>
    <w:rsid w:val="000B31A9"/>
    <w:rsid w:val="000B3F00"/>
    <w:rsid w:val="000B65EC"/>
    <w:rsid w:val="000C354B"/>
    <w:rsid w:val="000C4EB2"/>
    <w:rsid w:val="000C677A"/>
    <w:rsid w:val="000C691F"/>
    <w:rsid w:val="000D212C"/>
    <w:rsid w:val="000D2327"/>
    <w:rsid w:val="000D2ED5"/>
    <w:rsid w:val="000D3FC4"/>
    <w:rsid w:val="000D5DD0"/>
    <w:rsid w:val="000D5F38"/>
    <w:rsid w:val="000D6FA2"/>
    <w:rsid w:val="000D70FA"/>
    <w:rsid w:val="000E01AC"/>
    <w:rsid w:val="000E065F"/>
    <w:rsid w:val="000E0F68"/>
    <w:rsid w:val="000E1826"/>
    <w:rsid w:val="000E3FD1"/>
    <w:rsid w:val="000E56C4"/>
    <w:rsid w:val="000E57E3"/>
    <w:rsid w:val="000F2449"/>
    <w:rsid w:val="000F5110"/>
    <w:rsid w:val="000F6012"/>
    <w:rsid w:val="000F6843"/>
    <w:rsid w:val="0010107B"/>
    <w:rsid w:val="00103EDF"/>
    <w:rsid w:val="001068AF"/>
    <w:rsid w:val="001077AD"/>
    <w:rsid w:val="00107CF4"/>
    <w:rsid w:val="0011126F"/>
    <w:rsid w:val="001136E7"/>
    <w:rsid w:val="00114B58"/>
    <w:rsid w:val="001167AD"/>
    <w:rsid w:val="001167BA"/>
    <w:rsid w:val="00117133"/>
    <w:rsid w:val="00121428"/>
    <w:rsid w:val="001226A1"/>
    <w:rsid w:val="001256BA"/>
    <w:rsid w:val="00126E19"/>
    <w:rsid w:val="001303DE"/>
    <w:rsid w:val="00131D34"/>
    <w:rsid w:val="0013354F"/>
    <w:rsid w:val="001343D7"/>
    <w:rsid w:val="00134CA2"/>
    <w:rsid w:val="001416AE"/>
    <w:rsid w:val="001471EE"/>
    <w:rsid w:val="00147E16"/>
    <w:rsid w:val="0015162F"/>
    <w:rsid w:val="00153266"/>
    <w:rsid w:val="00153692"/>
    <w:rsid w:val="00153869"/>
    <w:rsid w:val="00154A12"/>
    <w:rsid w:val="0015586A"/>
    <w:rsid w:val="00155F97"/>
    <w:rsid w:val="00156A7C"/>
    <w:rsid w:val="001613D1"/>
    <w:rsid w:val="00161D3C"/>
    <w:rsid w:val="00162027"/>
    <w:rsid w:val="001640BE"/>
    <w:rsid w:val="00165409"/>
    <w:rsid w:val="0016642A"/>
    <w:rsid w:val="001677DF"/>
    <w:rsid w:val="00170179"/>
    <w:rsid w:val="00173416"/>
    <w:rsid w:val="001744AB"/>
    <w:rsid w:val="0017483C"/>
    <w:rsid w:val="00175C25"/>
    <w:rsid w:val="00176309"/>
    <w:rsid w:val="00177BC9"/>
    <w:rsid w:val="00180147"/>
    <w:rsid w:val="00180F65"/>
    <w:rsid w:val="001845CC"/>
    <w:rsid w:val="00185DC9"/>
    <w:rsid w:val="0018766D"/>
    <w:rsid w:val="00187CD5"/>
    <w:rsid w:val="0019451A"/>
    <w:rsid w:val="001976E5"/>
    <w:rsid w:val="001A0126"/>
    <w:rsid w:val="001A58ED"/>
    <w:rsid w:val="001A6B88"/>
    <w:rsid w:val="001B105A"/>
    <w:rsid w:val="001B2E32"/>
    <w:rsid w:val="001B5BF9"/>
    <w:rsid w:val="001B663C"/>
    <w:rsid w:val="001B6C2A"/>
    <w:rsid w:val="001C0FBF"/>
    <w:rsid w:val="001C2D20"/>
    <w:rsid w:val="001C54DA"/>
    <w:rsid w:val="001C5AC6"/>
    <w:rsid w:val="001C5B69"/>
    <w:rsid w:val="001C6CDD"/>
    <w:rsid w:val="001C75FF"/>
    <w:rsid w:val="001C78D6"/>
    <w:rsid w:val="001C7961"/>
    <w:rsid w:val="001D18E3"/>
    <w:rsid w:val="001D19A8"/>
    <w:rsid w:val="001D424C"/>
    <w:rsid w:val="001D5021"/>
    <w:rsid w:val="001D5280"/>
    <w:rsid w:val="001D5460"/>
    <w:rsid w:val="001D6AEA"/>
    <w:rsid w:val="001E00E9"/>
    <w:rsid w:val="001E35D1"/>
    <w:rsid w:val="001E5FF2"/>
    <w:rsid w:val="001E715B"/>
    <w:rsid w:val="001F46BF"/>
    <w:rsid w:val="001F4ADF"/>
    <w:rsid w:val="001F5DCA"/>
    <w:rsid w:val="001F6A2A"/>
    <w:rsid w:val="001F7364"/>
    <w:rsid w:val="001F7D34"/>
    <w:rsid w:val="00200402"/>
    <w:rsid w:val="0020043D"/>
    <w:rsid w:val="0020298D"/>
    <w:rsid w:val="002104DA"/>
    <w:rsid w:val="00210BA4"/>
    <w:rsid w:val="00213317"/>
    <w:rsid w:val="002134B7"/>
    <w:rsid w:val="00215C87"/>
    <w:rsid w:val="00223B7E"/>
    <w:rsid w:val="00231389"/>
    <w:rsid w:val="0023239E"/>
    <w:rsid w:val="002332EF"/>
    <w:rsid w:val="00233E00"/>
    <w:rsid w:val="00242EEC"/>
    <w:rsid w:val="002519B8"/>
    <w:rsid w:val="00253A41"/>
    <w:rsid w:val="002551DB"/>
    <w:rsid w:val="00255976"/>
    <w:rsid w:val="002569D4"/>
    <w:rsid w:val="00261F30"/>
    <w:rsid w:val="00262D46"/>
    <w:rsid w:val="00265385"/>
    <w:rsid w:val="002660F1"/>
    <w:rsid w:val="002661AB"/>
    <w:rsid w:val="00271F2E"/>
    <w:rsid w:val="00271F96"/>
    <w:rsid w:val="002747DF"/>
    <w:rsid w:val="00282B9B"/>
    <w:rsid w:val="00284892"/>
    <w:rsid w:val="002A4383"/>
    <w:rsid w:val="002A5A6F"/>
    <w:rsid w:val="002B0A40"/>
    <w:rsid w:val="002B4718"/>
    <w:rsid w:val="002B5578"/>
    <w:rsid w:val="002B673C"/>
    <w:rsid w:val="002C43BE"/>
    <w:rsid w:val="002C43E9"/>
    <w:rsid w:val="002C5B17"/>
    <w:rsid w:val="002C64E4"/>
    <w:rsid w:val="002C68E6"/>
    <w:rsid w:val="002C756B"/>
    <w:rsid w:val="002C7DB3"/>
    <w:rsid w:val="002D11F4"/>
    <w:rsid w:val="002D2704"/>
    <w:rsid w:val="002D3FBF"/>
    <w:rsid w:val="002D4FE3"/>
    <w:rsid w:val="002D6718"/>
    <w:rsid w:val="002D6BF9"/>
    <w:rsid w:val="002E252A"/>
    <w:rsid w:val="002E3B23"/>
    <w:rsid w:val="002E3BA9"/>
    <w:rsid w:val="002E6707"/>
    <w:rsid w:val="002F08BD"/>
    <w:rsid w:val="002F3C84"/>
    <w:rsid w:val="002F61E6"/>
    <w:rsid w:val="00300A13"/>
    <w:rsid w:val="0030112C"/>
    <w:rsid w:val="00305020"/>
    <w:rsid w:val="00306829"/>
    <w:rsid w:val="00306E87"/>
    <w:rsid w:val="00311CA4"/>
    <w:rsid w:val="00312511"/>
    <w:rsid w:val="00315D42"/>
    <w:rsid w:val="003167F4"/>
    <w:rsid w:val="00322A6A"/>
    <w:rsid w:val="00323926"/>
    <w:rsid w:val="0032635E"/>
    <w:rsid w:val="003266CE"/>
    <w:rsid w:val="00332392"/>
    <w:rsid w:val="003330D4"/>
    <w:rsid w:val="00342A51"/>
    <w:rsid w:val="0034415B"/>
    <w:rsid w:val="003479C3"/>
    <w:rsid w:val="00350D3A"/>
    <w:rsid w:val="00352C3E"/>
    <w:rsid w:val="00354C20"/>
    <w:rsid w:val="00354CB9"/>
    <w:rsid w:val="00360407"/>
    <w:rsid w:val="00361BD7"/>
    <w:rsid w:val="003622F6"/>
    <w:rsid w:val="00362803"/>
    <w:rsid w:val="00365746"/>
    <w:rsid w:val="003658AF"/>
    <w:rsid w:val="0036790A"/>
    <w:rsid w:val="0037194D"/>
    <w:rsid w:val="00371ECD"/>
    <w:rsid w:val="003728B3"/>
    <w:rsid w:val="003737C4"/>
    <w:rsid w:val="00376955"/>
    <w:rsid w:val="003777BB"/>
    <w:rsid w:val="00381A5B"/>
    <w:rsid w:val="00382B25"/>
    <w:rsid w:val="00383948"/>
    <w:rsid w:val="00384A30"/>
    <w:rsid w:val="00390703"/>
    <w:rsid w:val="0039315C"/>
    <w:rsid w:val="00395165"/>
    <w:rsid w:val="00397C30"/>
    <w:rsid w:val="003A02A4"/>
    <w:rsid w:val="003A046D"/>
    <w:rsid w:val="003A1D89"/>
    <w:rsid w:val="003A27FD"/>
    <w:rsid w:val="003A62A8"/>
    <w:rsid w:val="003A64DA"/>
    <w:rsid w:val="003A7E7C"/>
    <w:rsid w:val="003B03C7"/>
    <w:rsid w:val="003B6852"/>
    <w:rsid w:val="003C0961"/>
    <w:rsid w:val="003C09AE"/>
    <w:rsid w:val="003C2713"/>
    <w:rsid w:val="003C2FEE"/>
    <w:rsid w:val="003C403F"/>
    <w:rsid w:val="003C58E3"/>
    <w:rsid w:val="003C5CE2"/>
    <w:rsid w:val="003C690F"/>
    <w:rsid w:val="003D2358"/>
    <w:rsid w:val="003D2C7B"/>
    <w:rsid w:val="003D51B2"/>
    <w:rsid w:val="003E0E6E"/>
    <w:rsid w:val="003E7387"/>
    <w:rsid w:val="003F0A33"/>
    <w:rsid w:val="003F2FCA"/>
    <w:rsid w:val="003F4B43"/>
    <w:rsid w:val="003F7D1B"/>
    <w:rsid w:val="004025CF"/>
    <w:rsid w:val="004029C8"/>
    <w:rsid w:val="00404C07"/>
    <w:rsid w:val="00405345"/>
    <w:rsid w:val="0040645A"/>
    <w:rsid w:val="004077AE"/>
    <w:rsid w:val="00414E56"/>
    <w:rsid w:val="00415061"/>
    <w:rsid w:val="0041561A"/>
    <w:rsid w:val="004163B5"/>
    <w:rsid w:val="0041708F"/>
    <w:rsid w:val="0042082B"/>
    <w:rsid w:val="00420E44"/>
    <w:rsid w:val="00421451"/>
    <w:rsid w:val="0042277C"/>
    <w:rsid w:val="00422C08"/>
    <w:rsid w:val="00424B18"/>
    <w:rsid w:val="00424FA9"/>
    <w:rsid w:val="00427C30"/>
    <w:rsid w:val="004308BD"/>
    <w:rsid w:val="004327AB"/>
    <w:rsid w:val="00435E68"/>
    <w:rsid w:val="004459A3"/>
    <w:rsid w:val="00445F79"/>
    <w:rsid w:val="00450A64"/>
    <w:rsid w:val="00451C1B"/>
    <w:rsid w:val="00452B5E"/>
    <w:rsid w:val="004550FF"/>
    <w:rsid w:val="004563E5"/>
    <w:rsid w:val="00461BFE"/>
    <w:rsid w:val="00464F8C"/>
    <w:rsid w:val="004732FF"/>
    <w:rsid w:val="00473937"/>
    <w:rsid w:val="00475C7E"/>
    <w:rsid w:val="00477F9F"/>
    <w:rsid w:val="00480575"/>
    <w:rsid w:val="00481867"/>
    <w:rsid w:val="00481932"/>
    <w:rsid w:val="00482487"/>
    <w:rsid w:val="004844BA"/>
    <w:rsid w:val="004847E3"/>
    <w:rsid w:val="00485D69"/>
    <w:rsid w:val="004863D7"/>
    <w:rsid w:val="004934A7"/>
    <w:rsid w:val="0049376F"/>
    <w:rsid w:val="00494443"/>
    <w:rsid w:val="00497C48"/>
    <w:rsid w:val="004A4EA4"/>
    <w:rsid w:val="004B2A9F"/>
    <w:rsid w:val="004B4B19"/>
    <w:rsid w:val="004B5525"/>
    <w:rsid w:val="004B6385"/>
    <w:rsid w:val="004C23D0"/>
    <w:rsid w:val="004C2865"/>
    <w:rsid w:val="004C5A25"/>
    <w:rsid w:val="004C6BC0"/>
    <w:rsid w:val="004D3093"/>
    <w:rsid w:val="004D5E38"/>
    <w:rsid w:val="004E2E03"/>
    <w:rsid w:val="005012BE"/>
    <w:rsid w:val="005103A8"/>
    <w:rsid w:val="00514087"/>
    <w:rsid w:val="00516095"/>
    <w:rsid w:val="00516FB9"/>
    <w:rsid w:val="00520274"/>
    <w:rsid w:val="00522EF6"/>
    <w:rsid w:val="00523D8C"/>
    <w:rsid w:val="00524124"/>
    <w:rsid w:val="005247F9"/>
    <w:rsid w:val="00524EC9"/>
    <w:rsid w:val="00527993"/>
    <w:rsid w:val="00533E71"/>
    <w:rsid w:val="00537971"/>
    <w:rsid w:val="00543AC1"/>
    <w:rsid w:val="0054728F"/>
    <w:rsid w:val="00550849"/>
    <w:rsid w:val="00552BB7"/>
    <w:rsid w:val="005537E1"/>
    <w:rsid w:val="00554ACB"/>
    <w:rsid w:val="00554F96"/>
    <w:rsid w:val="00557FD3"/>
    <w:rsid w:val="00562E15"/>
    <w:rsid w:val="00563CB0"/>
    <w:rsid w:val="00564640"/>
    <w:rsid w:val="00565BAA"/>
    <w:rsid w:val="00565FE9"/>
    <w:rsid w:val="00570898"/>
    <w:rsid w:val="005713FD"/>
    <w:rsid w:val="005753DF"/>
    <w:rsid w:val="00576A44"/>
    <w:rsid w:val="00576AFE"/>
    <w:rsid w:val="00576BB1"/>
    <w:rsid w:val="005809D8"/>
    <w:rsid w:val="00581D99"/>
    <w:rsid w:val="00585A07"/>
    <w:rsid w:val="00586D52"/>
    <w:rsid w:val="005957AD"/>
    <w:rsid w:val="005963BF"/>
    <w:rsid w:val="005965BF"/>
    <w:rsid w:val="00597087"/>
    <w:rsid w:val="005A1397"/>
    <w:rsid w:val="005A5060"/>
    <w:rsid w:val="005A521D"/>
    <w:rsid w:val="005B0751"/>
    <w:rsid w:val="005B46A1"/>
    <w:rsid w:val="005B633F"/>
    <w:rsid w:val="005C25CF"/>
    <w:rsid w:val="005C3CB3"/>
    <w:rsid w:val="005C4318"/>
    <w:rsid w:val="005C6201"/>
    <w:rsid w:val="005C7063"/>
    <w:rsid w:val="005E274A"/>
    <w:rsid w:val="005E2A79"/>
    <w:rsid w:val="005E3F3F"/>
    <w:rsid w:val="005E4355"/>
    <w:rsid w:val="005E4438"/>
    <w:rsid w:val="005E5754"/>
    <w:rsid w:val="005E6F83"/>
    <w:rsid w:val="005F04C8"/>
    <w:rsid w:val="005F09C6"/>
    <w:rsid w:val="005F0CF4"/>
    <w:rsid w:val="005F33C2"/>
    <w:rsid w:val="005F351B"/>
    <w:rsid w:val="005F4A1A"/>
    <w:rsid w:val="005F53A6"/>
    <w:rsid w:val="0060232A"/>
    <w:rsid w:val="0060397A"/>
    <w:rsid w:val="006053E4"/>
    <w:rsid w:val="006076C5"/>
    <w:rsid w:val="00607970"/>
    <w:rsid w:val="00611E06"/>
    <w:rsid w:val="00611E85"/>
    <w:rsid w:val="00623692"/>
    <w:rsid w:val="00626CC8"/>
    <w:rsid w:val="00627C10"/>
    <w:rsid w:val="00630942"/>
    <w:rsid w:val="00631353"/>
    <w:rsid w:val="00631533"/>
    <w:rsid w:val="006323F0"/>
    <w:rsid w:val="00634DB1"/>
    <w:rsid w:val="00636B90"/>
    <w:rsid w:val="00636EF0"/>
    <w:rsid w:val="00637E3D"/>
    <w:rsid w:val="006437F9"/>
    <w:rsid w:val="00645114"/>
    <w:rsid w:val="00645E84"/>
    <w:rsid w:val="0064679C"/>
    <w:rsid w:val="00647AF3"/>
    <w:rsid w:val="00655C75"/>
    <w:rsid w:val="006611EE"/>
    <w:rsid w:val="006726B5"/>
    <w:rsid w:val="00674BB4"/>
    <w:rsid w:val="0067524D"/>
    <w:rsid w:val="0067775F"/>
    <w:rsid w:val="00680433"/>
    <w:rsid w:val="00680D8F"/>
    <w:rsid w:val="00681FDB"/>
    <w:rsid w:val="00683A15"/>
    <w:rsid w:val="00684CA0"/>
    <w:rsid w:val="00685029"/>
    <w:rsid w:val="006879A4"/>
    <w:rsid w:val="00691672"/>
    <w:rsid w:val="00693FD8"/>
    <w:rsid w:val="00697D96"/>
    <w:rsid w:val="006A5D13"/>
    <w:rsid w:val="006B1262"/>
    <w:rsid w:val="006B22DD"/>
    <w:rsid w:val="006B2C70"/>
    <w:rsid w:val="006B390A"/>
    <w:rsid w:val="006B4B28"/>
    <w:rsid w:val="006C2F09"/>
    <w:rsid w:val="006C4BE4"/>
    <w:rsid w:val="006D26AD"/>
    <w:rsid w:val="006D6D53"/>
    <w:rsid w:val="006E3796"/>
    <w:rsid w:val="006E4F8F"/>
    <w:rsid w:val="006E5BAC"/>
    <w:rsid w:val="006F0001"/>
    <w:rsid w:val="006F4270"/>
    <w:rsid w:val="006F5F92"/>
    <w:rsid w:val="00700E32"/>
    <w:rsid w:val="007014C2"/>
    <w:rsid w:val="00702B30"/>
    <w:rsid w:val="00707D39"/>
    <w:rsid w:val="00711EF3"/>
    <w:rsid w:val="00717E55"/>
    <w:rsid w:val="0072208B"/>
    <w:rsid w:val="007230AA"/>
    <w:rsid w:val="00723468"/>
    <w:rsid w:val="0072411E"/>
    <w:rsid w:val="00725989"/>
    <w:rsid w:val="007271EE"/>
    <w:rsid w:val="0072762B"/>
    <w:rsid w:val="007342DF"/>
    <w:rsid w:val="00735324"/>
    <w:rsid w:val="0074360F"/>
    <w:rsid w:val="0074378C"/>
    <w:rsid w:val="0074491D"/>
    <w:rsid w:val="00746188"/>
    <w:rsid w:val="00746DEB"/>
    <w:rsid w:val="00756161"/>
    <w:rsid w:val="00756DC2"/>
    <w:rsid w:val="007624E8"/>
    <w:rsid w:val="00762710"/>
    <w:rsid w:val="007633DE"/>
    <w:rsid w:val="00764A7B"/>
    <w:rsid w:val="0077036B"/>
    <w:rsid w:val="00770511"/>
    <w:rsid w:val="00770A75"/>
    <w:rsid w:val="0077432C"/>
    <w:rsid w:val="007744EB"/>
    <w:rsid w:val="0077464E"/>
    <w:rsid w:val="007768DD"/>
    <w:rsid w:val="00776BED"/>
    <w:rsid w:val="0078231C"/>
    <w:rsid w:val="00785ED1"/>
    <w:rsid w:val="007865B9"/>
    <w:rsid w:val="00787CA9"/>
    <w:rsid w:val="00790D9D"/>
    <w:rsid w:val="007937D8"/>
    <w:rsid w:val="007939A7"/>
    <w:rsid w:val="00793DDF"/>
    <w:rsid w:val="00794C7D"/>
    <w:rsid w:val="00795405"/>
    <w:rsid w:val="00795B12"/>
    <w:rsid w:val="00795C6E"/>
    <w:rsid w:val="007A200E"/>
    <w:rsid w:val="007A3911"/>
    <w:rsid w:val="007A5DA2"/>
    <w:rsid w:val="007A68FD"/>
    <w:rsid w:val="007A7BDD"/>
    <w:rsid w:val="007B2EF4"/>
    <w:rsid w:val="007B4A5A"/>
    <w:rsid w:val="007B5263"/>
    <w:rsid w:val="007C2B4D"/>
    <w:rsid w:val="007C3BDC"/>
    <w:rsid w:val="007C4E33"/>
    <w:rsid w:val="007C6222"/>
    <w:rsid w:val="007D1846"/>
    <w:rsid w:val="007D2FEF"/>
    <w:rsid w:val="007D481C"/>
    <w:rsid w:val="007D707D"/>
    <w:rsid w:val="007E1128"/>
    <w:rsid w:val="007E13EE"/>
    <w:rsid w:val="007E202E"/>
    <w:rsid w:val="007E3B00"/>
    <w:rsid w:val="007E5C90"/>
    <w:rsid w:val="007E6F73"/>
    <w:rsid w:val="007F2099"/>
    <w:rsid w:val="0080138E"/>
    <w:rsid w:val="008041EE"/>
    <w:rsid w:val="008059C4"/>
    <w:rsid w:val="008063AF"/>
    <w:rsid w:val="008067FB"/>
    <w:rsid w:val="0080714A"/>
    <w:rsid w:val="008124FF"/>
    <w:rsid w:val="00813939"/>
    <w:rsid w:val="008146EC"/>
    <w:rsid w:val="00815F44"/>
    <w:rsid w:val="00816B54"/>
    <w:rsid w:val="00817712"/>
    <w:rsid w:val="00821EC1"/>
    <w:rsid w:val="00822FFB"/>
    <w:rsid w:val="00827954"/>
    <w:rsid w:val="008337C1"/>
    <w:rsid w:val="00836213"/>
    <w:rsid w:val="008367F8"/>
    <w:rsid w:val="00843266"/>
    <w:rsid w:val="008445DF"/>
    <w:rsid w:val="008606DF"/>
    <w:rsid w:val="00861552"/>
    <w:rsid w:val="00867B5A"/>
    <w:rsid w:val="00870987"/>
    <w:rsid w:val="008732E3"/>
    <w:rsid w:val="00873E38"/>
    <w:rsid w:val="00876F2B"/>
    <w:rsid w:val="00881F4C"/>
    <w:rsid w:val="00887745"/>
    <w:rsid w:val="00890F94"/>
    <w:rsid w:val="00891895"/>
    <w:rsid w:val="00891AED"/>
    <w:rsid w:val="0089208D"/>
    <w:rsid w:val="00892221"/>
    <w:rsid w:val="00894E41"/>
    <w:rsid w:val="00896B0C"/>
    <w:rsid w:val="008A76F6"/>
    <w:rsid w:val="008B4A5F"/>
    <w:rsid w:val="008B6A40"/>
    <w:rsid w:val="008B78CD"/>
    <w:rsid w:val="008C0D47"/>
    <w:rsid w:val="008C3794"/>
    <w:rsid w:val="008C7B72"/>
    <w:rsid w:val="008D2217"/>
    <w:rsid w:val="008D2BA4"/>
    <w:rsid w:val="008D44C8"/>
    <w:rsid w:val="008E39E3"/>
    <w:rsid w:val="008F0C4C"/>
    <w:rsid w:val="008F1633"/>
    <w:rsid w:val="008F51BE"/>
    <w:rsid w:val="00904AF3"/>
    <w:rsid w:val="00906354"/>
    <w:rsid w:val="00906700"/>
    <w:rsid w:val="0090723B"/>
    <w:rsid w:val="00907BDC"/>
    <w:rsid w:val="009108B4"/>
    <w:rsid w:val="0091096F"/>
    <w:rsid w:val="009111A5"/>
    <w:rsid w:val="009119F0"/>
    <w:rsid w:val="00913FE8"/>
    <w:rsid w:val="009157DD"/>
    <w:rsid w:val="0092032A"/>
    <w:rsid w:val="009222AA"/>
    <w:rsid w:val="00925CF3"/>
    <w:rsid w:val="00925F1F"/>
    <w:rsid w:val="009272C2"/>
    <w:rsid w:val="009304EA"/>
    <w:rsid w:val="00942CB4"/>
    <w:rsid w:val="00942DDE"/>
    <w:rsid w:val="00950BB3"/>
    <w:rsid w:val="00951417"/>
    <w:rsid w:val="00951496"/>
    <w:rsid w:val="009533E7"/>
    <w:rsid w:val="0095499A"/>
    <w:rsid w:val="00955E49"/>
    <w:rsid w:val="00957A3F"/>
    <w:rsid w:val="00957F9B"/>
    <w:rsid w:val="00963F22"/>
    <w:rsid w:val="00967E90"/>
    <w:rsid w:val="00970305"/>
    <w:rsid w:val="00970FD5"/>
    <w:rsid w:val="009713D5"/>
    <w:rsid w:val="00972692"/>
    <w:rsid w:val="00972886"/>
    <w:rsid w:val="009729E8"/>
    <w:rsid w:val="0098018C"/>
    <w:rsid w:val="009854EB"/>
    <w:rsid w:val="00985C78"/>
    <w:rsid w:val="00987041"/>
    <w:rsid w:val="00987461"/>
    <w:rsid w:val="0099310B"/>
    <w:rsid w:val="009A0C3A"/>
    <w:rsid w:val="009A296B"/>
    <w:rsid w:val="009A74F8"/>
    <w:rsid w:val="009B1710"/>
    <w:rsid w:val="009B5803"/>
    <w:rsid w:val="009C1390"/>
    <w:rsid w:val="009C1BEF"/>
    <w:rsid w:val="009C2DC8"/>
    <w:rsid w:val="009C3EA1"/>
    <w:rsid w:val="009C53FB"/>
    <w:rsid w:val="009C67CD"/>
    <w:rsid w:val="009E10D1"/>
    <w:rsid w:val="009E1399"/>
    <w:rsid w:val="009E1572"/>
    <w:rsid w:val="009E4270"/>
    <w:rsid w:val="009E44B3"/>
    <w:rsid w:val="009F4B47"/>
    <w:rsid w:val="009F5915"/>
    <w:rsid w:val="009F6340"/>
    <w:rsid w:val="009F7EA6"/>
    <w:rsid w:val="00A0067A"/>
    <w:rsid w:val="00A00E67"/>
    <w:rsid w:val="00A02298"/>
    <w:rsid w:val="00A02BC4"/>
    <w:rsid w:val="00A14B6D"/>
    <w:rsid w:val="00A15ECD"/>
    <w:rsid w:val="00A2196A"/>
    <w:rsid w:val="00A24740"/>
    <w:rsid w:val="00A251B1"/>
    <w:rsid w:val="00A26BB2"/>
    <w:rsid w:val="00A31396"/>
    <w:rsid w:val="00A32E7B"/>
    <w:rsid w:val="00A33D39"/>
    <w:rsid w:val="00A35094"/>
    <w:rsid w:val="00A36F6D"/>
    <w:rsid w:val="00A40917"/>
    <w:rsid w:val="00A41308"/>
    <w:rsid w:val="00A54F61"/>
    <w:rsid w:val="00A63C67"/>
    <w:rsid w:val="00A7080B"/>
    <w:rsid w:val="00A72D22"/>
    <w:rsid w:val="00A72DC3"/>
    <w:rsid w:val="00A74946"/>
    <w:rsid w:val="00A753F5"/>
    <w:rsid w:val="00A80341"/>
    <w:rsid w:val="00A83B5A"/>
    <w:rsid w:val="00A911FD"/>
    <w:rsid w:val="00A94817"/>
    <w:rsid w:val="00A94F05"/>
    <w:rsid w:val="00A9600F"/>
    <w:rsid w:val="00AA3C76"/>
    <w:rsid w:val="00AA44FC"/>
    <w:rsid w:val="00AB179D"/>
    <w:rsid w:val="00AB1919"/>
    <w:rsid w:val="00AB4D3F"/>
    <w:rsid w:val="00AB650C"/>
    <w:rsid w:val="00AC18B5"/>
    <w:rsid w:val="00AC26ED"/>
    <w:rsid w:val="00AC2AB5"/>
    <w:rsid w:val="00AC3357"/>
    <w:rsid w:val="00AC3B78"/>
    <w:rsid w:val="00AC5FC4"/>
    <w:rsid w:val="00AC6DFC"/>
    <w:rsid w:val="00AC79CE"/>
    <w:rsid w:val="00AD2587"/>
    <w:rsid w:val="00AD292F"/>
    <w:rsid w:val="00AD2A1A"/>
    <w:rsid w:val="00AD2CA3"/>
    <w:rsid w:val="00AD363B"/>
    <w:rsid w:val="00AD61E2"/>
    <w:rsid w:val="00AE4A0C"/>
    <w:rsid w:val="00AE6A68"/>
    <w:rsid w:val="00AE722C"/>
    <w:rsid w:val="00AF12EA"/>
    <w:rsid w:val="00AF2F33"/>
    <w:rsid w:val="00AF6B81"/>
    <w:rsid w:val="00B0040E"/>
    <w:rsid w:val="00B0093B"/>
    <w:rsid w:val="00B045AC"/>
    <w:rsid w:val="00B10A69"/>
    <w:rsid w:val="00B111B7"/>
    <w:rsid w:val="00B12F3E"/>
    <w:rsid w:val="00B155B2"/>
    <w:rsid w:val="00B17660"/>
    <w:rsid w:val="00B2421B"/>
    <w:rsid w:val="00B268C9"/>
    <w:rsid w:val="00B27803"/>
    <w:rsid w:val="00B3672E"/>
    <w:rsid w:val="00B368F2"/>
    <w:rsid w:val="00B42ACA"/>
    <w:rsid w:val="00B4378B"/>
    <w:rsid w:val="00B52177"/>
    <w:rsid w:val="00B57D2F"/>
    <w:rsid w:val="00B62BF0"/>
    <w:rsid w:val="00B6331F"/>
    <w:rsid w:val="00B6529C"/>
    <w:rsid w:val="00B66708"/>
    <w:rsid w:val="00B674FE"/>
    <w:rsid w:val="00B75CD8"/>
    <w:rsid w:val="00B80B84"/>
    <w:rsid w:val="00B83857"/>
    <w:rsid w:val="00B84D39"/>
    <w:rsid w:val="00B862BE"/>
    <w:rsid w:val="00B87563"/>
    <w:rsid w:val="00B939E1"/>
    <w:rsid w:val="00B942E4"/>
    <w:rsid w:val="00BA3ED4"/>
    <w:rsid w:val="00BA7490"/>
    <w:rsid w:val="00BC178A"/>
    <w:rsid w:val="00BC21B8"/>
    <w:rsid w:val="00BC2AAA"/>
    <w:rsid w:val="00BC3AC3"/>
    <w:rsid w:val="00BD20A9"/>
    <w:rsid w:val="00BD5723"/>
    <w:rsid w:val="00BD591F"/>
    <w:rsid w:val="00BE1266"/>
    <w:rsid w:val="00BE12FA"/>
    <w:rsid w:val="00BE50D7"/>
    <w:rsid w:val="00BE7767"/>
    <w:rsid w:val="00BF24DD"/>
    <w:rsid w:val="00BF345C"/>
    <w:rsid w:val="00BF3C10"/>
    <w:rsid w:val="00BF5524"/>
    <w:rsid w:val="00C0517F"/>
    <w:rsid w:val="00C05F29"/>
    <w:rsid w:val="00C15BD2"/>
    <w:rsid w:val="00C16ED6"/>
    <w:rsid w:val="00C2184C"/>
    <w:rsid w:val="00C22CFF"/>
    <w:rsid w:val="00C25DC9"/>
    <w:rsid w:val="00C277B0"/>
    <w:rsid w:val="00C3120E"/>
    <w:rsid w:val="00C323F3"/>
    <w:rsid w:val="00C36672"/>
    <w:rsid w:val="00C37F17"/>
    <w:rsid w:val="00C440FC"/>
    <w:rsid w:val="00C4458D"/>
    <w:rsid w:val="00C448AF"/>
    <w:rsid w:val="00C45C8A"/>
    <w:rsid w:val="00C50605"/>
    <w:rsid w:val="00C50BA4"/>
    <w:rsid w:val="00C5286E"/>
    <w:rsid w:val="00C56952"/>
    <w:rsid w:val="00C6038F"/>
    <w:rsid w:val="00C6047E"/>
    <w:rsid w:val="00C61381"/>
    <w:rsid w:val="00C622F5"/>
    <w:rsid w:val="00C63B82"/>
    <w:rsid w:val="00C64DB9"/>
    <w:rsid w:val="00C656A5"/>
    <w:rsid w:val="00C6642C"/>
    <w:rsid w:val="00C67D6C"/>
    <w:rsid w:val="00C67EF6"/>
    <w:rsid w:val="00C75369"/>
    <w:rsid w:val="00C90FA5"/>
    <w:rsid w:val="00C91430"/>
    <w:rsid w:val="00C93FDC"/>
    <w:rsid w:val="00C95FC8"/>
    <w:rsid w:val="00C96186"/>
    <w:rsid w:val="00C9795C"/>
    <w:rsid w:val="00C97DC1"/>
    <w:rsid w:val="00CA0D24"/>
    <w:rsid w:val="00CA116F"/>
    <w:rsid w:val="00CA4AD5"/>
    <w:rsid w:val="00CB058A"/>
    <w:rsid w:val="00CB18F1"/>
    <w:rsid w:val="00CB28BD"/>
    <w:rsid w:val="00CB35FB"/>
    <w:rsid w:val="00CB6945"/>
    <w:rsid w:val="00CC0891"/>
    <w:rsid w:val="00CC2F46"/>
    <w:rsid w:val="00CC4B2D"/>
    <w:rsid w:val="00CC5A7A"/>
    <w:rsid w:val="00CC78E3"/>
    <w:rsid w:val="00CC7EA5"/>
    <w:rsid w:val="00CD6B41"/>
    <w:rsid w:val="00CE0638"/>
    <w:rsid w:val="00CE1770"/>
    <w:rsid w:val="00CE409F"/>
    <w:rsid w:val="00CE56B2"/>
    <w:rsid w:val="00CE72CA"/>
    <w:rsid w:val="00CE7308"/>
    <w:rsid w:val="00CF02EE"/>
    <w:rsid w:val="00CF1D18"/>
    <w:rsid w:val="00CF3D21"/>
    <w:rsid w:val="00CF6A5C"/>
    <w:rsid w:val="00D05822"/>
    <w:rsid w:val="00D1009A"/>
    <w:rsid w:val="00D10ADD"/>
    <w:rsid w:val="00D17046"/>
    <w:rsid w:val="00D17907"/>
    <w:rsid w:val="00D20990"/>
    <w:rsid w:val="00D232ED"/>
    <w:rsid w:val="00D25B0D"/>
    <w:rsid w:val="00D3093F"/>
    <w:rsid w:val="00D3148A"/>
    <w:rsid w:val="00D32364"/>
    <w:rsid w:val="00D34532"/>
    <w:rsid w:val="00D3761B"/>
    <w:rsid w:val="00D42323"/>
    <w:rsid w:val="00D45F2D"/>
    <w:rsid w:val="00D5625C"/>
    <w:rsid w:val="00D57C3A"/>
    <w:rsid w:val="00D6087C"/>
    <w:rsid w:val="00D61086"/>
    <w:rsid w:val="00D6467D"/>
    <w:rsid w:val="00D71B73"/>
    <w:rsid w:val="00D73B9F"/>
    <w:rsid w:val="00D76F1D"/>
    <w:rsid w:val="00D800C1"/>
    <w:rsid w:val="00D81781"/>
    <w:rsid w:val="00D8439E"/>
    <w:rsid w:val="00D90EB8"/>
    <w:rsid w:val="00D97643"/>
    <w:rsid w:val="00DA40D8"/>
    <w:rsid w:val="00DA4AF6"/>
    <w:rsid w:val="00DA513F"/>
    <w:rsid w:val="00DA5E77"/>
    <w:rsid w:val="00DB6ED4"/>
    <w:rsid w:val="00DC060C"/>
    <w:rsid w:val="00DC1F6A"/>
    <w:rsid w:val="00DC44BF"/>
    <w:rsid w:val="00DC5A7D"/>
    <w:rsid w:val="00DD2371"/>
    <w:rsid w:val="00DD2A7E"/>
    <w:rsid w:val="00DE381F"/>
    <w:rsid w:val="00DE3D26"/>
    <w:rsid w:val="00DF1A40"/>
    <w:rsid w:val="00DF6DF7"/>
    <w:rsid w:val="00DF7474"/>
    <w:rsid w:val="00E0504A"/>
    <w:rsid w:val="00E06E8A"/>
    <w:rsid w:val="00E0774A"/>
    <w:rsid w:val="00E101B2"/>
    <w:rsid w:val="00E16516"/>
    <w:rsid w:val="00E173D4"/>
    <w:rsid w:val="00E25296"/>
    <w:rsid w:val="00E259F3"/>
    <w:rsid w:val="00E26B25"/>
    <w:rsid w:val="00E32907"/>
    <w:rsid w:val="00E32AB3"/>
    <w:rsid w:val="00E32D7D"/>
    <w:rsid w:val="00E339F3"/>
    <w:rsid w:val="00E35820"/>
    <w:rsid w:val="00E36F93"/>
    <w:rsid w:val="00E37DC1"/>
    <w:rsid w:val="00E43720"/>
    <w:rsid w:val="00E45E36"/>
    <w:rsid w:val="00E4680E"/>
    <w:rsid w:val="00E512D1"/>
    <w:rsid w:val="00E53856"/>
    <w:rsid w:val="00E5535E"/>
    <w:rsid w:val="00E60AFA"/>
    <w:rsid w:val="00E612E1"/>
    <w:rsid w:val="00E63372"/>
    <w:rsid w:val="00E64CD6"/>
    <w:rsid w:val="00E64E30"/>
    <w:rsid w:val="00E719E9"/>
    <w:rsid w:val="00E73377"/>
    <w:rsid w:val="00E73DC1"/>
    <w:rsid w:val="00E75A91"/>
    <w:rsid w:val="00E82C5D"/>
    <w:rsid w:val="00E83A8F"/>
    <w:rsid w:val="00E8420A"/>
    <w:rsid w:val="00E87AA7"/>
    <w:rsid w:val="00E927E2"/>
    <w:rsid w:val="00E92F18"/>
    <w:rsid w:val="00E937FF"/>
    <w:rsid w:val="00E96937"/>
    <w:rsid w:val="00EA2548"/>
    <w:rsid w:val="00EA3CB8"/>
    <w:rsid w:val="00EA494F"/>
    <w:rsid w:val="00EA64E8"/>
    <w:rsid w:val="00EA6B53"/>
    <w:rsid w:val="00EB1780"/>
    <w:rsid w:val="00EB24D2"/>
    <w:rsid w:val="00EB32DE"/>
    <w:rsid w:val="00EB6570"/>
    <w:rsid w:val="00EC0A7F"/>
    <w:rsid w:val="00EC3ED9"/>
    <w:rsid w:val="00EC48B6"/>
    <w:rsid w:val="00EC6685"/>
    <w:rsid w:val="00EC698E"/>
    <w:rsid w:val="00EC72D1"/>
    <w:rsid w:val="00EE2DF0"/>
    <w:rsid w:val="00EF05A2"/>
    <w:rsid w:val="00EF126B"/>
    <w:rsid w:val="00EF2332"/>
    <w:rsid w:val="00EF55C8"/>
    <w:rsid w:val="00EF6CE0"/>
    <w:rsid w:val="00F014A1"/>
    <w:rsid w:val="00F03C68"/>
    <w:rsid w:val="00F07339"/>
    <w:rsid w:val="00F111E9"/>
    <w:rsid w:val="00F11B2A"/>
    <w:rsid w:val="00F12B25"/>
    <w:rsid w:val="00F156B4"/>
    <w:rsid w:val="00F16E95"/>
    <w:rsid w:val="00F17D70"/>
    <w:rsid w:val="00F27C91"/>
    <w:rsid w:val="00F303CE"/>
    <w:rsid w:val="00F36A7C"/>
    <w:rsid w:val="00F41D40"/>
    <w:rsid w:val="00F41D85"/>
    <w:rsid w:val="00F42DAC"/>
    <w:rsid w:val="00F450A7"/>
    <w:rsid w:val="00F527EC"/>
    <w:rsid w:val="00F54F32"/>
    <w:rsid w:val="00F56172"/>
    <w:rsid w:val="00F576ED"/>
    <w:rsid w:val="00F60A22"/>
    <w:rsid w:val="00F62D00"/>
    <w:rsid w:val="00F6665A"/>
    <w:rsid w:val="00F6798B"/>
    <w:rsid w:val="00F712F8"/>
    <w:rsid w:val="00F721F9"/>
    <w:rsid w:val="00F7256F"/>
    <w:rsid w:val="00F72A0F"/>
    <w:rsid w:val="00F74E15"/>
    <w:rsid w:val="00F775AF"/>
    <w:rsid w:val="00F862F5"/>
    <w:rsid w:val="00F86696"/>
    <w:rsid w:val="00F87294"/>
    <w:rsid w:val="00F926C5"/>
    <w:rsid w:val="00FA00BE"/>
    <w:rsid w:val="00FA1F99"/>
    <w:rsid w:val="00FA546E"/>
    <w:rsid w:val="00FA5E31"/>
    <w:rsid w:val="00FA62A1"/>
    <w:rsid w:val="00FB0DAC"/>
    <w:rsid w:val="00FB1794"/>
    <w:rsid w:val="00FB3EDB"/>
    <w:rsid w:val="00FB5374"/>
    <w:rsid w:val="00FB5458"/>
    <w:rsid w:val="00FB68D4"/>
    <w:rsid w:val="00FB760B"/>
    <w:rsid w:val="00FC061D"/>
    <w:rsid w:val="00FC1905"/>
    <w:rsid w:val="00FC2184"/>
    <w:rsid w:val="00FC3E80"/>
    <w:rsid w:val="00FC405A"/>
    <w:rsid w:val="00FC4C19"/>
    <w:rsid w:val="00FC5FD8"/>
    <w:rsid w:val="00FD0D58"/>
    <w:rsid w:val="00FD1D72"/>
    <w:rsid w:val="00FD68D0"/>
    <w:rsid w:val="00FE0644"/>
    <w:rsid w:val="00FE32BC"/>
    <w:rsid w:val="00FE3B7B"/>
    <w:rsid w:val="00FE6018"/>
    <w:rsid w:val="00FF0029"/>
    <w:rsid w:val="00FF04B5"/>
    <w:rsid w:val="00FF2ED4"/>
    <w:rsid w:val="00FF65EB"/>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8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semiHidden/>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185DC9"/>
    <w:pPr>
      <w:numPr>
        <w:ilvl w:val="4"/>
      </w:numPr>
      <w:outlineLvl w:val="4"/>
    </w:pPr>
    <w:rPr>
      <w:sz w:val="22"/>
    </w:rPr>
  </w:style>
  <w:style w:type="paragraph" w:styleId="Heading6">
    <w:name w:val="heading 6"/>
    <w:basedOn w:val="Normal"/>
    <w:next w:val="Normal"/>
    <w:link w:val="Heading6Char"/>
    <w:semiHidden/>
    <w:unhideWhenUsed/>
    <w:qFormat/>
    <w:rsid w:val="00185DC9"/>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185DC9"/>
    <w:pPr>
      <w:numPr>
        <w:ilvl w:val="7"/>
        <w:numId w:val="1"/>
      </w:numPr>
      <w:outlineLvl w:val="7"/>
    </w:pPr>
  </w:style>
  <w:style w:type="paragraph" w:styleId="Heading9">
    <w:name w:val="heading 9"/>
    <w:basedOn w:val="Heading8"/>
    <w:next w:val="Normal"/>
    <w:link w:val="Heading9Char"/>
    <w:uiPriority w:val="99"/>
    <w:semiHidden/>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semiHidden/>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uiPriority w:val="99"/>
    <w:qFormat/>
    <w:rsid w:val="00185DC9"/>
    <w:pPr>
      <w:keepNext/>
      <w:keepLines/>
      <w:spacing w:after="0"/>
      <w:jc w:val="center"/>
    </w:pPr>
    <w:rPr>
      <w:rFonts w:ascii="Arial" w:hAnsi="Arial"/>
      <w:b/>
      <w:sz w:val="18"/>
      <w:lang w:val="x-none"/>
    </w:rPr>
  </w:style>
  <w:style w:type="character" w:customStyle="1" w:styleId="TAHCar">
    <w:name w:val="TAH Car"/>
    <w:link w:val="TAH"/>
    <w:uiPriority w:val="99"/>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table" w:styleId="TableGrid">
    <w:name w:val="Table Grid"/>
    <w:basedOn w:val="TableNormal"/>
    <w:uiPriority w:val="39"/>
    <w:rsid w:val="00DB6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24124"/>
    <w:rPr>
      <w:lang w:val="en-GB"/>
    </w:rPr>
  </w:style>
  <w:style w:type="character" w:styleId="Emphasis">
    <w:name w:val="Emphasis"/>
    <w:qFormat/>
    <w:rsid w:val="00A40917"/>
    <w:rPr>
      <w:rFonts w:ascii="Arial" w:eastAsia="SimSun" w:hAnsi="Arial" w:cs="Arial"/>
      <w:i/>
      <w:iCs/>
      <w:color w:val="0000FF"/>
      <w:kern w:val="2"/>
      <w:lang w:val="en-US" w:eastAsia="zh-CN" w:bidi="ar-SA"/>
    </w:rPr>
  </w:style>
  <w:style w:type="paragraph" w:styleId="Header">
    <w:name w:val="header"/>
    <w:basedOn w:val="Normal"/>
    <w:link w:val="HeaderChar"/>
    <w:semiHidden/>
    <w:rsid w:val="00FA00BE"/>
    <w:pPr>
      <w:tabs>
        <w:tab w:val="center" w:pos="4153"/>
        <w:tab w:val="right" w:pos="8306"/>
      </w:tabs>
      <w:spacing w:after="0"/>
    </w:pPr>
    <w:rPr>
      <w:rFonts w:eastAsia="SimSun"/>
    </w:rPr>
  </w:style>
  <w:style w:type="character" w:customStyle="1" w:styleId="HeaderChar">
    <w:name w:val="Header Char"/>
    <w:basedOn w:val="DefaultParagraphFont"/>
    <w:link w:val="Header"/>
    <w:semiHidden/>
    <w:rsid w:val="00FA00B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E8420A"/>
    <w:pPr>
      <w:tabs>
        <w:tab w:val="center" w:pos="4680"/>
        <w:tab w:val="right" w:pos="9360"/>
      </w:tabs>
      <w:spacing w:after="0"/>
    </w:pPr>
  </w:style>
  <w:style w:type="character" w:customStyle="1" w:styleId="FooterChar">
    <w:name w:val="Footer Char"/>
    <w:basedOn w:val="DefaultParagraphFont"/>
    <w:link w:val="Footer"/>
    <w:uiPriority w:val="99"/>
    <w:semiHidden/>
    <w:rsid w:val="00E8420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64480">
      <w:bodyDiv w:val="1"/>
      <w:marLeft w:val="0"/>
      <w:marRight w:val="0"/>
      <w:marTop w:val="0"/>
      <w:marBottom w:val="0"/>
      <w:divBdr>
        <w:top w:val="none" w:sz="0" w:space="0" w:color="auto"/>
        <w:left w:val="none" w:sz="0" w:space="0" w:color="auto"/>
        <w:bottom w:val="none" w:sz="0" w:space="0" w:color="auto"/>
        <w:right w:val="none" w:sz="0" w:space="0" w:color="auto"/>
      </w:divBdr>
      <w:divsChild>
        <w:div w:id="1945066929">
          <w:marLeft w:val="1166"/>
          <w:marRight w:val="0"/>
          <w:marTop w:val="86"/>
          <w:marBottom w:val="0"/>
          <w:divBdr>
            <w:top w:val="none" w:sz="0" w:space="0" w:color="auto"/>
            <w:left w:val="none" w:sz="0" w:space="0" w:color="auto"/>
            <w:bottom w:val="none" w:sz="0" w:space="0" w:color="auto"/>
            <w:right w:val="none" w:sz="0" w:space="0" w:color="auto"/>
          </w:divBdr>
        </w:div>
      </w:divsChild>
    </w:div>
    <w:div w:id="241960307">
      <w:bodyDiv w:val="1"/>
      <w:marLeft w:val="0"/>
      <w:marRight w:val="0"/>
      <w:marTop w:val="0"/>
      <w:marBottom w:val="0"/>
      <w:divBdr>
        <w:top w:val="none" w:sz="0" w:space="0" w:color="auto"/>
        <w:left w:val="none" w:sz="0" w:space="0" w:color="auto"/>
        <w:bottom w:val="none" w:sz="0" w:space="0" w:color="auto"/>
        <w:right w:val="none" w:sz="0" w:space="0" w:color="auto"/>
      </w:divBdr>
      <w:divsChild>
        <w:div w:id="1363894676">
          <w:marLeft w:val="2520"/>
          <w:marRight w:val="0"/>
          <w:marTop w:val="72"/>
          <w:marBottom w:val="0"/>
          <w:divBdr>
            <w:top w:val="none" w:sz="0" w:space="0" w:color="auto"/>
            <w:left w:val="none" w:sz="0" w:space="0" w:color="auto"/>
            <w:bottom w:val="none" w:sz="0" w:space="0" w:color="auto"/>
            <w:right w:val="none" w:sz="0" w:space="0" w:color="auto"/>
          </w:divBdr>
        </w:div>
        <w:div w:id="384914215">
          <w:marLeft w:val="2520"/>
          <w:marRight w:val="0"/>
          <w:marTop w:val="72"/>
          <w:marBottom w:val="0"/>
          <w:divBdr>
            <w:top w:val="none" w:sz="0" w:space="0" w:color="auto"/>
            <w:left w:val="none" w:sz="0" w:space="0" w:color="auto"/>
            <w:bottom w:val="none" w:sz="0" w:space="0" w:color="auto"/>
            <w:right w:val="none" w:sz="0" w:space="0" w:color="auto"/>
          </w:divBdr>
        </w:div>
      </w:divsChild>
    </w:div>
    <w:div w:id="292368212">
      <w:bodyDiv w:val="1"/>
      <w:marLeft w:val="0"/>
      <w:marRight w:val="0"/>
      <w:marTop w:val="0"/>
      <w:marBottom w:val="0"/>
      <w:divBdr>
        <w:top w:val="none" w:sz="0" w:space="0" w:color="auto"/>
        <w:left w:val="none" w:sz="0" w:space="0" w:color="auto"/>
        <w:bottom w:val="none" w:sz="0" w:space="0" w:color="auto"/>
        <w:right w:val="none" w:sz="0" w:space="0" w:color="auto"/>
      </w:divBdr>
      <w:divsChild>
        <w:div w:id="1877429905">
          <w:marLeft w:val="1166"/>
          <w:marRight w:val="0"/>
          <w:marTop w:val="82"/>
          <w:marBottom w:val="0"/>
          <w:divBdr>
            <w:top w:val="none" w:sz="0" w:space="0" w:color="auto"/>
            <w:left w:val="none" w:sz="0" w:space="0" w:color="auto"/>
            <w:bottom w:val="none" w:sz="0" w:space="0" w:color="auto"/>
            <w:right w:val="none" w:sz="0" w:space="0" w:color="auto"/>
          </w:divBdr>
        </w:div>
        <w:div w:id="611979322">
          <w:marLeft w:val="1166"/>
          <w:marRight w:val="0"/>
          <w:marTop w:val="82"/>
          <w:marBottom w:val="0"/>
          <w:divBdr>
            <w:top w:val="none" w:sz="0" w:space="0" w:color="auto"/>
            <w:left w:val="none" w:sz="0" w:space="0" w:color="auto"/>
            <w:bottom w:val="none" w:sz="0" w:space="0" w:color="auto"/>
            <w:right w:val="none" w:sz="0" w:space="0" w:color="auto"/>
          </w:divBdr>
        </w:div>
      </w:divsChild>
    </w:div>
    <w:div w:id="376659235">
      <w:bodyDiv w:val="1"/>
      <w:marLeft w:val="0"/>
      <w:marRight w:val="0"/>
      <w:marTop w:val="0"/>
      <w:marBottom w:val="0"/>
      <w:divBdr>
        <w:top w:val="none" w:sz="0" w:space="0" w:color="auto"/>
        <w:left w:val="none" w:sz="0" w:space="0" w:color="auto"/>
        <w:bottom w:val="none" w:sz="0" w:space="0" w:color="auto"/>
        <w:right w:val="none" w:sz="0" w:space="0" w:color="auto"/>
      </w:divBdr>
      <w:divsChild>
        <w:div w:id="1475294406">
          <w:marLeft w:val="547"/>
          <w:marRight w:val="0"/>
          <w:marTop w:val="12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94821884">
      <w:bodyDiv w:val="1"/>
      <w:marLeft w:val="0"/>
      <w:marRight w:val="0"/>
      <w:marTop w:val="0"/>
      <w:marBottom w:val="0"/>
      <w:divBdr>
        <w:top w:val="none" w:sz="0" w:space="0" w:color="auto"/>
        <w:left w:val="none" w:sz="0" w:space="0" w:color="auto"/>
        <w:bottom w:val="none" w:sz="0" w:space="0" w:color="auto"/>
        <w:right w:val="none" w:sz="0" w:space="0" w:color="auto"/>
      </w:divBdr>
      <w:divsChild>
        <w:div w:id="1658995370">
          <w:marLeft w:val="1166"/>
          <w:marRight w:val="0"/>
          <w:marTop w:val="86"/>
          <w:marBottom w:val="0"/>
          <w:divBdr>
            <w:top w:val="none" w:sz="0" w:space="0" w:color="auto"/>
            <w:left w:val="none" w:sz="0" w:space="0" w:color="auto"/>
            <w:bottom w:val="none" w:sz="0" w:space="0" w:color="auto"/>
            <w:right w:val="none" w:sz="0" w:space="0" w:color="auto"/>
          </w:divBdr>
        </w:div>
        <w:div w:id="1161653078">
          <w:marLeft w:val="1166"/>
          <w:marRight w:val="0"/>
          <w:marTop w:val="86"/>
          <w:marBottom w:val="0"/>
          <w:divBdr>
            <w:top w:val="none" w:sz="0" w:space="0" w:color="auto"/>
            <w:left w:val="none" w:sz="0" w:space="0" w:color="auto"/>
            <w:bottom w:val="none" w:sz="0" w:space="0" w:color="auto"/>
            <w:right w:val="none" w:sz="0" w:space="0" w:color="auto"/>
          </w:divBdr>
        </w:div>
        <w:div w:id="662783587">
          <w:marLeft w:val="1800"/>
          <w:marRight w:val="0"/>
          <w:marTop w:val="77"/>
          <w:marBottom w:val="0"/>
          <w:divBdr>
            <w:top w:val="none" w:sz="0" w:space="0" w:color="auto"/>
            <w:left w:val="none" w:sz="0" w:space="0" w:color="auto"/>
            <w:bottom w:val="none" w:sz="0" w:space="0" w:color="auto"/>
            <w:right w:val="none" w:sz="0" w:space="0" w:color="auto"/>
          </w:divBdr>
        </w:div>
        <w:div w:id="223680876">
          <w:marLeft w:val="1166"/>
          <w:marRight w:val="0"/>
          <w:marTop w:val="86"/>
          <w:marBottom w:val="0"/>
          <w:divBdr>
            <w:top w:val="none" w:sz="0" w:space="0" w:color="auto"/>
            <w:left w:val="none" w:sz="0" w:space="0" w:color="auto"/>
            <w:bottom w:val="none" w:sz="0" w:space="0" w:color="auto"/>
            <w:right w:val="none" w:sz="0" w:space="0" w:color="auto"/>
          </w:divBdr>
        </w:div>
        <w:div w:id="260141432">
          <w:marLeft w:val="1166"/>
          <w:marRight w:val="0"/>
          <w:marTop w:val="86"/>
          <w:marBottom w:val="0"/>
          <w:divBdr>
            <w:top w:val="none" w:sz="0" w:space="0" w:color="auto"/>
            <w:left w:val="none" w:sz="0" w:space="0" w:color="auto"/>
            <w:bottom w:val="none" w:sz="0" w:space="0" w:color="auto"/>
            <w:right w:val="none" w:sz="0" w:space="0" w:color="auto"/>
          </w:divBdr>
        </w:div>
        <w:div w:id="788007793">
          <w:marLeft w:val="1166"/>
          <w:marRight w:val="0"/>
          <w:marTop w:val="86"/>
          <w:marBottom w:val="0"/>
          <w:divBdr>
            <w:top w:val="none" w:sz="0" w:space="0" w:color="auto"/>
            <w:left w:val="none" w:sz="0" w:space="0" w:color="auto"/>
            <w:bottom w:val="none" w:sz="0" w:space="0" w:color="auto"/>
            <w:right w:val="none" w:sz="0" w:space="0" w:color="auto"/>
          </w:divBdr>
        </w:div>
        <w:div w:id="579877128">
          <w:marLeft w:val="1166"/>
          <w:marRight w:val="0"/>
          <w:marTop w:val="86"/>
          <w:marBottom w:val="0"/>
          <w:divBdr>
            <w:top w:val="none" w:sz="0" w:space="0" w:color="auto"/>
            <w:left w:val="none" w:sz="0" w:space="0" w:color="auto"/>
            <w:bottom w:val="none" w:sz="0" w:space="0" w:color="auto"/>
            <w:right w:val="none" w:sz="0" w:space="0" w:color="auto"/>
          </w:divBdr>
        </w:div>
        <w:div w:id="594944300">
          <w:marLeft w:val="1166"/>
          <w:marRight w:val="0"/>
          <w:marTop w:val="86"/>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268270453">
      <w:bodyDiv w:val="1"/>
      <w:marLeft w:val="0"/>
      <w:marRight w:val="0"/>
      <w:marTop w:val="0"/>
      <w:marBottom w:val="0"/>
      <w:divBdr>
        <w:top w:val="none" w:sz="0" w:space="0" w:color="auto"/>
        <w:left w:val="none" w:sz="0" w:space="0" w:color="auto"/>
        <w:bottom w:val="none" w:sz="0" w:space="0" w:color="auto"/>
        <w:right w:val="none" w:sz="0" w:space="0" w:color="auto"/>
      </w:divBdr>
      <w:divsChild>
        <w:div w:id="46733833">
          <w:marLeft w:val="1800"/>
          <w:marRight w:val="0"/>
          <w:marTop w:val="72"/>
          <w:marBottom w:val="0"/>
          <w:divBdr>
            <w:top w:val="none" w:sz="0" w:space="0" w:color="auto"/>
            <w:left w:val="none" w:sz="0" w:space="0" w:color="auto"/>
            <w:bottom w:val="none" w:sz="0" w:space="0" w:color="auto"/>
            <w:right w:val="none" w:sz="0" w:space="0" w:color="auto"/>
          </w:divBdr>
        </w:div>
        <w:div w:id="1782186652">
          <w:marLeft w:val="2520"/>
          <w:marRight w:val="0"/>
          <w:marTop w:val="72"/>
          <w:marBottom w:val="0"/>
          <w:divBdr>
            <w:top w:val="none" w:sz="0" w:space="0" w:color="auto"/>
            <w:left w:val="none" w:sz="0" w:space="0" w:color="auto"/>
            <w:bottom w:val="none" w:sz="0" w:space="0" w:color="auto"/>
            <w:right w:val="none" w:sz="0" w:space="0" w:color="auto"/>
          </w:divBdr>
        </w:div>
        <w:div w:id="1737824787">
          <w:marLeft w:val="2520"/>
          <w:marRight w:val="0"/>
          <w:marTop w:val="72"/>
          <w:marBottom w:val="0"/>
          <w:divBdr>
            <w:top w:val="none" w:sz="0" w:space="0" w:color="auto"/>
            <w:left w:val="none" w:sz="0" w:space="0" w:color="auto"/>
            <w:bottom w:val="none" w:sz="0" w:space="0" w:color="auto"/>
            <w:right w:val="none" w:sz="0" w:space="0" w:color="auto"/>
          </w:divBdr>
        </w:div>
      </w:divsChild>
    </w:div>
    <w:div w:id="1377050292">
      <w:bodyDiv w:val="1"/>
      <w:marLeft w:val="0"/>
      <w:marRight w:val="0"/>
      <w:marTop w:val="0"/>
      <w:marBottom w:val="0"/>
      <w:divBdr>
        <w:top w:val="none" w:sz="0" w:space="0" w:color="auto"/>
        <w:left w:val="none" w:sz="0" w:space="0" w:color="auto"/>
        <w:bottom w:val="none" w:sz="0" w:space="0" w:color="auto"/>
        <w:right w:val="none" w:sz="0" w:space="0" w:color="auto"/>
      </w:divBdr>
      <w:divsChild>
        <w:div w:id="1727290751">
          <w:marLeft w:val="2520"/>
          <w:marRight w:val="0"/>
          <w:marTop w:val="72"/>
          <w:marBottom w:val="0"/>
          <w:divBdr>
            <w:top w:val="none" w:sz="0" w:space="0" w:color="auto"/>
            <w:left w:val="none" w:sz="0" w:space="0" w:color="auto"/>
            <w:bottom w:val="none" w:sz="0" w:space="0" w:color="auto"/>
            <w:right w:val="none" w:sz="0" w:space="0" w:color="auto"/>
          </w:divBdr>
        </w:div>
        <w:div w:id="1823544887">
          <w:marLeft w:val="2520"/>
          <w:marRight w:val="0"/>
          <w:marTop w:val="72"/>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49031605">
      <w:bodyDiv w:val="1"/>
      <w:marLeft w:val="0"/>
      <w:marRight w:val="0"/>
      <w:marTop w:val="0"/>
      <w:marBottom w:val="0"/>
      <w:divBdr>
        <w:top w:val="none" w:sz="0" w:space="0" w:color="auto"/>
        <w:left w:val="none" w:sz="0" w:space="0" w:color="auto"/>
        <w:bottom w:val="none" w:sz="0" w:space="0" w:color="auto"/>
        <w:right w:val="none" w:sz="0" w:space="0" w:color="auto"/>
      </w:divBdr>
      <w:divsChild>
        <w:div w:id="599945798">
          <w:marLeft w:val="1800"/>
          <w:marRight w:val="0"/>
          <w:marTop w:val="77"/>
          <w:marBottom w:val="0"/>
          <w:divBdr>
            <w:top w:val="none" w:sz="0" w:space="0" w:color="auto"/>
            <w:left w:val="none" w:sz="0" w:space="0" w:color="auto"/>
            <w:bottom w:val="none" w:sz="0" w:space="0" w:color="auto"/>
            <w:right w:val="none" w:sz="0" w:space="0" w:color="auto"/>
          </w:divBdr>
        </w:div>
        <w:div w:id="1194075380">
          <w:marLeft w:val="1800"/>
          <w:marRight w:val="0"/>
          <w:marTop w:val="77"/>
          <w:marBottom w:val="0"/>
          <w:divBdr>
            <w:top w:val="none" w:sz="0" w:space="0" w:color="auto"/>
            <w:left w:val="none" w:sz="0" w:space="0" w:color="auto"/>
            <w:bottom w:val="none" w:sz="0" w:space="0" w:color="auto"/>
            <w:right w:val="none" w:sz="0" w:space="0" w:color="auto"/>
          </w:divBdr>
        </w:div>
        <w:div w:id="299069774">
          <w:marLeft w:val="1800"/>
          <w:marRight w:val="0"/>
          <w:marTop w:val="77"/>
          <w:marBottom w:val="0"/>
          <w:divBdr>
            <w:top w:val="none" w:sz="0" w:space="0" w:color="auto"/>
            <w:left w:val="none" w:sz="0" w:space="0" w:color="auto"/>
            <w:bottom w:val="none" w:sz="0" w:space="0" w:color="auto"/>
            <w:right w:val="none" w:sz="0" w:space="0" w:color="auto"/>
          </w:divBdr>
        </w:div>
        <w:div w:id="1719477153">
          <w:marLeft w:val="1800"/>
          <w:marRight w:val="0"/>
          <w:marTop w:val="77"/>
          <w:marBottom w:val="0"/>
          <w:divBdr>
            <w:top w:val="none" w:sz="0" w:space="0" w:color="auto"/>
            <w:left w:val="none" w:sz="0" w:space="0" w:color="auto"/>
            <w:bottom w:val="none" w:sz="0" w:space="0" w:color="auto"/>
            <w:right w:val="none" w:sz="0" w:space="0" w:color="auto"/>
          </w:divBdr>
        </w:div>
      </w:divsChild>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69291382">
      <w:bodyDiv w:val="1"/>
      <w:marLeft w:val="0"/>
      <w:marRight w:val="0"/>
      <w:marTop w:val="0"/>
      <w:marBottom w:val="0"/>
      <w:divBdr>
        <w:top w:val="none" w:sz="0" w:space="0" w:color="auto"/>
        <w:left w:val="none" w:sz="0" w:space="0" w:color="auto"/>
        <w:bottom w:val="none" w:sz="0" w:space="0" w:color="auto"/>
        <w:right w:val="none" w:sz="0" w:space="0" w:color="auto"/>
      </w:divBdr>
      <w:divsChild>
        <w:div w:id="1890606469">
          <w:marLeft w:val="2520"/>
          <w:marRight w:val="0"/>
          <w:marTop w:val="72"/>
          <w:marBottom w:val="0"/>
          <w:divBdr>
            <w:top w:val="none" w:sz="0" w:space="0" w:color="auto"/>
            <w:left w:val="none" w:sz="0" w:space="0" w:color="auto"/>
            <w:bottom w:val="none" w:sz="0" w:space="0" w:color="auto"/>
            <w:right w:val="none" w:sz="0" w:space="0" w:color="auto"/>
          </w:divBdr>
        </w:div>
        <w:div w:id="776558494">
          <w:marLeft w:val="2520"/>
          <w:marRight w:val="0"/>
          <w:marTop w:val="72"/>
          <w:marBottom w:val="0"/>
          <w:divBdr>
            <w:top w:val="none" w:sz="0" w:space="0" w:color="auto"/>
            <w:left w:val="none" w:sz="0" w:space="0" w:color="auto"/>
            <w:bottom w:val="none" w:sz="0" w:space="0" w:color="auto"/>
            <w:right w:val="none" w:sz="0" w:space="0" w:color="auto"/>
          </w:divBdr>
        </w:div>
      </w:divsChild>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8105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4811</TotalTime>
  <Pages>3</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Author</cp:lastModifiedBy>
  <cp:revision>952</cp:revision>
  <dcterms:created xsi:type="dcterms:W3CDTF">2021-04-29T00:54:00Z</dcterms:created>
  <dcterms:modified xsi:type="dcterms:W3CDTF">2022-01-06T18:22:00Z</dcterms:modified>
</cp:coreProperties>
</file>